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19A" w:rsidRPr="004D619A" w:rsidRDefault="007D3B88" w:rsidP="004D619A">
      <w:pPr>
        <w:pStyle w:val="NamaPenulis"/>
        <w:ind w:left="567" w:right="566"/>
        <w:rPr>
          <w:rFonts w:cs="Arial"/>
          <w:b/>
          <w:color w:val="auto"/>
          <w:spacing w:val="0"/>
          <w:sz w:val="32"/>
        </w:rPr>
      </w:pPr>
      <w:r w:rsidRPr="007D3B88">
        <w:rPr>
          <w:rFonts w:cs="Arial"/>
          <w:b/>
          <w:color w:val="auto"/>
          <w:spacing w:val="0"/>
          <w:sz w:val="32"/>
        </w:rPr>
        <w:t>ANALISIS HUKUM TENTANG KEKUATAN PEMBUKTIAN PADA PERKARA PERDATA</w:t>
      </w:r>
    </w:p>
    <w:p w:rsidR="00211497" w:rsidRPr="00286128" w:rsidRDefault="007D3B88" w:rsidP="004D619A">
      <w:pPr>
        <w:pStyle w:val="NamaPenulis"/>
        <w:spacing w:line="276" w:lineRule="auto"/>
        <w:ind w:left="567" w:right="566"/>
        <w:rPr>
          <w:color w:val="FF0000"/>
          <w:vertAlign w:val="superscript"/>
          <w:lang w:val="id-ID"/>
        </w:rPr>
      </w:pPr>
      <w:r w:rsidRPr="007D3B88">
        <w:t>Fachrizal Azhar</w:t>
      </w:r>
      <w:r w:rsidR="00DD59B5" w:rsidRPr="00286128">
        <w:rPr>
          <w:vertAlign w:val="superscript"/>
        </w:rPr>
        <w:t>1</w:t>
      </w:r>
      <w:r w:rsidR="004D619A">
        <w:rPr>
          <w:vertAlign w:val="superscript"/>
        </w:rPr>
        <w:t>.2</w:t>
      </w:r>
      <w:r w:rsidR="00DD59B5" w:rsidRPr="00286128">
        <w:t xml:space="preserve">, </w:t>
      </w:r>
      <w:r w:rsidRPr="007D3B88">
        <w:rPr>
          <w:rFonts w:cs="Arial"/>
        </w:rPr>
        <w:t>Sufirman Rahman</w:t>
      </w:r>
      <w:r w:rsidR="00014769" w:rsidRPr="00286128">
        <w:rPr>
          <w:vertAlign w:val="superscript"/>
        </w:rPr>
        <w:t>1</w:t>
      </w:r>
      <w:r w:rsidR="008C7552" w:rsidRPr="00286128">
        <w:t xml:space="preserve">, </w:t>
      </w:r>
      <w:r w:rsidRPr="007D3B88">
        <w:rPr>
          <w:rFonts w:cs="Arial"/>
          <w:lang w:val="en-ID"/>
        </w:rPr>
        <w:t>Hasbuddin Khalid</w:t>
      </w:r>
      <w:r w:rsidR="004D619A">
        <w:rPr>
          <w:vertAlign w:val="superscript"/>
        </w:rPr>
        <w:t>1</w:t>
      </w:r>
    </w:p>
    <w:p w:rsidR="00211497" w:rsidRDefault="00014769" w:rsidP="00A82C63">
      <w:pPr>
        <w:pStyle w:val="AfiliasiPenulis"/>
        <w:spacing w:line="240" w:lineRule="auto"/>
        <w:ind w:left="1134" w:right="1133"/>
      </w:pPr>
      <w:r>
        <w:rPr>
          <w:i w:val="0"/>
          <w:vertAlign w:val="superscript"/>
        </w:rPr>
        <w:t>1</w:t>
      </w:r>
      <w:r w:rsidR="00A50551">
        <w:t>F</w:t>
      </w:r>
      <w:r>
        <w:t>akultas Hukum, Universitas Muslim Indonesia</w:t>
      </w:r>
    </w:p>
    <w:p w:rsidR="00014769" w:rsidRPr="00014769" w:rsidRDefault="00436E32" w:rsidP="00A82C63">
      <w:pPr>
        <w:pStyle w:val="AfiliasiPenulis"/>
        <w:spacing w:line="240" w:lineRule="auto"/>
        <w:ind w:left="1134" w:right="1133"/>
      </w:pPr>
      <w:r>
        <w:rPr>
          <w:i w:val="0"/>
          <w:vertAlign w:val="superscript"/>
        </w:rPr>
        <w:t>2</w:t>
      </w:r>
      <w:r w:rsidR="00014769">
        <w:t>Mahasiswa</w:t>
      </w:r>
      <w:r w:rsidR="001E4025">
        <w:t xml:space="preserve"> </w:t>
      </w:r>
      <w:r>
        <w:t>Fakultas Hukum, Ilmu Hukum, Universitas Muslim Indonesia</w:t>
      </w:r>
    </w:p>
    <w:p w:rsidR="00211497" w:rsidRDefault="00211497" w:rsidP="00A82C63">
      <w:pPr>
        <w:pStyle w:val="AfiliasiPenulis"/>
        <w:spacing w:line="240" w:lineRule="auto"/>
        <w:ind w:left="1134" w:right="1133"/>
        <w:rPr>
          <w:lang w:val="id-ID"/>
        </w:rPr>
      </w:pPr>
    </w:p>
    <w:p w:rsidR="007476A8" w:rsidRPr="00073C15" w:rsidRDefault="00754972" w:rsidP="00073C15">
      <w:pPr>
        <w:pStyle w:val="CorrespondingAuthor"/>
        <w:spacing w:line="480" w:lineRule="auto"/>
        <w:ind w:left="1134" w:right="1133"/>
        <w:rPr>
          <w:sz w:val="16"/>
          <w:szCs w:val="16"/>
        </w:rPr>
      </w:pPr>
      <w:r w:rsidRPr="00754972">
        <w:rPr>
          <w:sz w:val="16"/>
          <w:szCs w:val="16"/>
        </w:rPr>
        <w:t>fachrizalazhar86@gmail.com</w:t>
      </w:r>
      <w:bookmarkStart w:id="0" w:name="_GoBack"/>
      <w:bookmarkEnd w:id="0"/>
    </w:p>
    <w:p w:rsidR="00A43F49" w:rsidRDefault="00A43F49" w:rsidP="00A82C63">
      <w:pPr>
        <w:pStyle w:val="AfiliasiPenulis"/>
        <w:spacing w:line="240" w:lineRule="auto"/>
        <w:ind w:left="1134" w:right="1133"/>
        <w:rPr>
          <w:lang w:val="id-ID"/>
        </w:rPr>
      </w:pPr>
      <w:r w:rsidRPr="00355C65">
        <w:rPr>
          <w:b/>
          <w:lang w:val="id-ID"/>
        </w:rPr>
        <w:t>Abstra</w:t>
      </w:r>
      <w:r>
        <w:rPr>
          <w:b/>
          <w:lang w:val="en-ID"/>
        </w:rPr>
        <w:t>ct</w:t>
      </w:r>
      <w:r w:rsidRPr="00355C65">
        <w:rPr>
          <w:lang w:val="id-ID"/>
        </w:rPr>
        <w:t xml:space="preserve">: </w:t>
      </w:r>
    </w:p>
    <w:p w:rsidR="00B40C2A" w:rsidRPr="00B40C2A" w:rsidRDefault="007D3B88" w:rsidP="007D3B88">
      <w:pPr>
        <w:ind w:left="1134" w:right="707"/>
        <w:jc w:val="both"/>
        <w:rPr>
          <w:rFonts w:ascii="Cambria" w:hAnsi="Cambria"/>
          <w:color w:val="202124"/>
          <w:sz w:val="20"/>
          <w:szCs w:val="20"/>
        </w:rPr>
      </w:pPr>
      <w:r w:rsidRPr="007D3B88">
        <w:rPr>
          <w:rFonts w:ascii="Cambria" w:hAnsi="Cambria"/>
          <w:color w:val="202124"/>
          <w:sz w:val="20"/>
          <w:szCs w:val="20"/>
        </w:rPr>
        <w:t>This study aims to determine the legal strength of decision evidence in the local examination process of civil dispute cases and what hinders the process of ex</w:t>
      </w:r>
      <w:r>
        <w:rPr>
          <w:rFonts w:ascii="Cambria" w:hAnsi="Cambria"/>
          <w:color w:val="202124"/>
          <w:sz w:val="20"/>
          <w:szCs w:val="20"/>
        </w:rPr>
        <w:t xml:space="preserve">amining civil dispute evidence. </w:t>
      </w:r>
      <w:r w:rsidRPr="007D3B88">
        <w:rPr>
          <w:rFonts w:ascii="Cambria" w:hAnsi="Cambria"/>
          <w:color w:val="202124"/>
          <w:sz w:val="20"/>
          <w:szCs w:val="20"/>
        </w:rPr>
        <w:t>The research method used in writing this thesis is an empirical method, with secondary and primary data coverage, this research was conducted at t</w:t>
      </w:r>
      <w:r>
        <w:rPr>
          <w:rFonts w:ascii="Cambria" w:hAnsi="Cambria"/>
          <w:color w:val="202124"/>
          <w:sz w:val="20"/>
          <w:szCs w:val="20"/>
        </w:rPr>
        <w:t xml:space="preserve">he Sungguminasa District Court. </w:t>
      </w:r>
      <w:r w:rsidRPr="007D3B88">
        <w:rPr>
          <w:rFonts w:ascii="Cambria" w:hAnsi="Cambria"/>
          <w:color w:val="202124"/>
          <w:sz w:val="20"/>
          <w:szCs w:val="20"/>
        </w:rPr>
        <w:t>The results of this study indicate that every fact found in the trial makes the judge bound to use it as a basis for consideration in making a decision. However, the binding power is not absolute, so the judge is free to determine the value of the strength of the evidence and the facilities/facilities factor, because the laboratory to support the evidence is sufficient, the community factor, the general public in the knowle</w:t>
      </w:r>
      <w:r>
        <w:rPr>
          <w:rFonts w:ascii="Cambria" w:hAnsi="Cambria"/>
          <w:color w:val="202124"/>
          <w:sz w:val="20"/>
          <w:szCs w:val="20"/>
        </w:rPr>
        <w:t xml:space="preserve">dge of environmental pollution. </w:t>
      </w:r>
      <w:r w:rsidRPr="007D3B88">
        <w:rPr>
          <w:rFonts w:ascii="Cambria" w:hAnsi="Cambria"/>
          <w:color w:val="202124"/>
          <w:sz w:val="20"/>
          <w:szCs w:val="20"/>
        </w:rPr>
        <w:t>Recommendations for the judge's research are expected in examining cases to be able to examine carefully and thoroughly the evidence between the litigants, in making it must meet the requirements of an authentic deed or not legally flawed and not in conflict with the a</w:t>
      </w:r>
      <w:r>
        <w:rPr>
          <w:rFonts w:ascii="Cambria" w:hAnsi="Cambria"/>
          <w:color w:val="202124"/>
          <w:sz w:val="20"/>
          <w:szCs w:val="20"/>
        </w:rPr>
        <w:t>pplicable laws and regulations.</w:t>
      </w:r>
    </w:p>
    <w:p w:rsidR="00330296" w:rsidRPr="007D3B88" w:rsidRDefault="00A43F49" w:rsidP="007D3B88">
      <w:pPr>
        <w:ind w:left="414" w:firstLine="720"/>
        <w:rPr>
          <w:rFonts w:ascii="Cambria" w:hAnsi="Cambria" w:cs="Cambria"/>
          <w:i/>
          <w:iCs/>
          <w:color w:val="000000"/>
          <w:spacing w:val="4"/>
          <w:sz w:val="20"/>
          <w:szCs w:val="20"/>
        </w:rPr>
      </w:pPr>
      <w:r w:rsidRPr="00A156D3">
        <w:rPr>
          <w:b/>
          <w:lang w:val="id-ID"/>
        </w:rPr>
        <w:t>K</w:t>
      </w:r>
      <w:r>
        <w:rPr>
          <w:b/>
          <w:lang w:val="en-ID"/>
        </w:rPr>
        <w:t>eywords</w:t>
      </w:r>
      <w:r w:rsidR="007D3B88">
        <w:rPr>
          <w:lang w:val="id-ID"/>
        </w:rPr>
        <w:t>:</w:t>
      </w:r>
      <w:r w:rsidR="007D3B88">
        <w:t xml:space="preserve"> </w:t>
      </w:r>
      <w:r w:rsidR="007D3B88" w:rsidRPr="007D3B88">
        <w:rPr>
          <w:rFonts w:ascii="Cambria" w:hAnsi="Cambria" w:cs="Cambria"/>
          <w:i/>
          <w:iCs/>
          <w:color w:val="000000"/>
          <w:spacing w:val="4"/>
          <w:sz w:val="20"/>
          <w:szCs w:val="20"/>
          <w:lang w:val="id-ID"/>
        </w:rPr>
        <w:t>Analysi</w:t>
      </w:r>
      <w:r w:rsidR="007D3B88">
        <w:rPr>
          <w:rFonts w:ascii="Cambria" w:hAnsi="Cambria" w:cs="Cambria"/>
          <w:i/>
          <w:iCs/>
          <w:color w:val="000000"/>
          <w:spacing w:val="4"/>
          <w:sz w:val="20"/>
          <w:szCs w:val="20"/>
          <w:lang w:val="id-ID"/>
        </w:rPr>
        <w:t>s, Law, Power, Evidence, Case.</w:t>
      </w:r>
    </w:p>
    <w:p w:rsidR="00A43F49" w:rsidRDefault="00910216" w:rsidP="00910216">
      <w:pPr>
        <w:pStyle w:val="AfiliasiPenulis"/>
        <w:tabs>
          <w:tab w:val="left" w:pos="1878"/>
          <w:tab w:val="center" w:pos="4536"/>
        </w:tabs>
        <w:spacing w:line="240" w:lineRule="auto"/>
        <w:ind w:left="1134" w:right="1133"/>
        <w:jc w:val="left"/>
        <w:rPr>
          <w:lang w:val="id-ID"/>
        </w:rPr>
      </w:pPr>
      <w:r>
        <w:rPr>
          <w:b/>
          <w:lang w:val="id-ID"/>
        </w:rPr>
        <w:tab/>
      </w:r>
      <w:r>
        <w:rPr>
          <w:b/>
          <w:lang w:val="id-ID"/>
        </w:rPr>
        <w:tab/>
      </w:r>
      <w:r w:rsidR="00A43F49" w:rsidRPr="00355C65">
        <w:rPr>
          <w:b/>
          <w:lang w:val="id-ID"/>
        </w:rPr>
        <w:t>Abstrak</w:t>
      </w:r>
      <w:r w:rsidR="00A43F49" w:rsidRPr="00355C65">
        <w:rPr>
          <w:lang w:val="id-ID"/>
        </w:rPr>
        <w:t xml:space="preserve">: </w:t>
      </w:r>
    </w:p>
    <w:p w:rsidR="007D3B88" w:rsidRDefault="007D3B88" w:rsidP="007D3B88">
      <w:pPr>
        <w:pStyle w:val="AfiliasiPenulis"/>
        <w:spacing w:line="240" w:lineRule="auto"/>
        <w:ind w:left="1134" w:right="707"/>
        <w:jc w:val="both"/>
        <w:rPr>
          <w:rFonts w:eastAsia="Times New Roman" w:cstheme="majorHAnsi"/>
          <w:i w:val="0"/>
          <w:iCs w:val="0"/>
          <w:color w:val="202124"/>
          <w:spacing w:val="0"/>
        </w:rPr>
      </w:pPr>
      <w:r w:rsidRPr="007D3B88">
        <w:rPr>
          <w:rFonts w:eastAsia="Times New Roman" w:cstheme="majorHAnsi"/>
          <w:i w:val="0"/>
          <w:iCs w:val="0"/>
          <w:color w:val="202124"/>
          <w:spacing w:val="0"/>
        </w:rPr>
        <w:t>Penelitian ini bertujuan untuk mengetahui kekuatan hukum bukti putusan dalam proses pemeriksaan  setempat perkara sengketa perdata dan apa saja menghambat dalam proses pemeriksa</w:t>
      </w:r>
      <w:r>
        <w:rPr>
          <w:rFonts w:eastAsia="Times New Roman" w:cstheme="majorHAnsi"/>
          <w:i w:val="0"/>
          <w:iCs w:val="0"/>
          <w:color w:val="202124"/>
          <w:spacing w:val="0"/>
        </w:rPr>
        <w:t xml:space="preserve">an bukti sengketa perdata. </w:t>
      </w:r>
      <w:r w:rsidRPr="007D3B88">
        <w:rPr>
          <w:rFonts w:eastAsia="Times New Roman" w:cstheme="majorHAnsi"/>
          <w:i w:val="0"/>
          <w:iCs w:val="0"/>
          <w:color w:val="202124"/>
          <w:spacing w:val="0"/>
        </w:rPr>
        <w:t>Metode penelitian yang digunakan dalam penulisan skripsi ini adalah metode empiris, dengan cakupan data skunder dan primer, penelitian ini dilakukan di P</w:t>
      </w:r>
      <w:r>
        <w:rPr>
          <w:rFonts w:eastAsia="Times New Roman" w:cstheme="majorHAnsi"/>
          <w:i w:val="0"/>
          <w:iCs w:val="0"/>
          <w:color w:val="202124"/>
          <w:spacing w:val="0"/>
        </w:rPr>
        <w:t xml:space="preserve">engadilan Negeri Sungguminasa.  </w:t>
      </w:r>
      <w:r w:rsidRPr="007D3B88">
        <w:rPr>
          <w:rFonts w:eastAsia="Times New Roman" w:cstheme="majorHAnsi"/>
          <w:i w:val="0"/>
          <w:iCs w:val="0"/>
          <w:color w:val="202124"/>
          <w:spacing w:val="0"/>
        </w:rPr>
        <w:t>Hasil penelitian ini menunjukkan bahwa Setiap fakta yang ditemukan dalam persidangan membuat hakim terikat untuk menjadikannya sebagai dasar pertimbangan mengambil putusan. Akan tetapi daya ikatnya tidak mutlak, jadi hakim bebas menentukan nilai kekuatan buktinya dan faktor sarana/fasilitas, karena laboratorium untuk mendukung bukti, yang cukup, faktor masyarakat, masih awamnya masyarakat dalam pengetahua</w:t>
      </w:r>
      <w:r>
        <w:rPr>
          <w:rFonts w:eastAsia="Times New Roman" w:cstheme="majorHAnsi"/>
          <w:i w:val="0"/>
          <w:iCs w:val="0"/>
          <w:color w:val="202124"/>
          <w:spacing w:val="0"/>
        </w:rPr>
        <w:t xml:space="preserve">n bidang pencemaran lingkungan. </w:t>
      </w:r>
      <w:r w:rsidRPr="007D3B88">
        <w:rPr>
          <w:rFonts w:eastAsia="Times New Roman" w:cstheme="majorHAnsi"/>
          <w:i w:val="0"/>
          <w:iCs w:val="0"/>
          <w:color w:val="202124"/>
          <w:spacing w:val="0"/>
        </w:rPr>
        <w:t>Rekomendasi penelitian hakim diharapkan dalam memeriksa perkara dapat memeriksa dengan cermat dan teliti bukti-bukti antara pihak-pihak yang berperkara,  dalam pembuatannya harus memenuhi syarat-syaratakta otentik atau jangan cacat hukum dan tidak bertentangan dengan peraturan perundang-undangan yang berlaku</w:t>
      </w:r>
    </w:p>
    <w:p w:rsidR="007D3B88" w:rsidRDefault="007D3B88" w:rsidP="007D3B88">
      <w:pPr>
        <w:pStyle w:val="AfiliasiPenulis"/>
        <w:spacing w:line="240" w:lineRule="auto"/>
        <w:ind w:left="1134" w:right="707"/>
        <w:jc w:val="both"/>
        <w:rPr>
          <w:rFonts w:eastAsia="Times New Roman" w:cstheme="majorHAnsi"/>
          <w:i w:val="0"/>
          <w:iCs w:val="0"/>
          <w:color w:val="202124"/>
          <w:spacing w:val="0"/>
        </w:rPr>
      </w:pPr>
    </w:p>
    <w:p w:rsidR="00A43F49" w:rsidRDefault="001E4025" w:rsidP="007D3B88">
      <w:pPr>
        <w:pStyle w:val="AfiliasiPenulis"/>
        <w:spacing w:line="240" w:lineRule="auto"/>
        <w:ind w:left="1134" w:right="707"/>
        <w:jc w:val="both"/>
        <w:rPr>
          <w:rFonts w:cs="Arial"/>
          <w:szCs w:val="22"/>
        </w:rPr>
      </w:pPr>
      <w:r w:rsidRPr="001E4025">
        <w:rPr>
          <w:b/>
        </w:rPr>
        <w:t>Kata Kunci:</w:t>
      </w:r>
      <w:r>
        <w:rPr>
          <w:b/>
        </w:rPr>
        <w:t xml:space="preserve"> </w:t>
      </w:r>
      <w:r w:rsidR="007D3B88" w:rsidRPr="007D3B88">
        <w:rPr>
          <w:rFonts w:cs="Arial"/>
          <w:szCs w:val="22"/>
        </w:rPr>
        <w:t>Analisis, Hukum, Kekuatan, Pembuktian, Perkara.</w:t>
      </w:r>
    </w:p>
    <w:p w:rsidR="007D3B88" w:rsidRDefault="007D3B88" w:rsidP="007D3B88">
      <w:pPr>
        <w:pStyle w:val="AfiliasiPenulis"/>
        <w:spacing w:line="240" w:lineRule="auto"/>
        <w:ind w:left="1134" w:right="707"/>
        <w:jc w:val="both"/>
        <w:rPr>
          <w:rFonts w:cs="Arial"/>
          <w:szCs w:val="22"/>
        </w:rPr>
      </w:pPr>
    </w:p>
    <w:p w:rsidR="007D3B88" w:rsidRDefault="007D3B88" w:rsidP="007D3B88">
      <w:pPr>
        <w:pStyle w:val="AfiliasiPenulis"/>
        <w:spacing w:line="240" w:lineRule="auto"/>
        <w:ind w:left="1134" w:right="707"/>
        <w:jc w:val="both"/>
        <w:rPr>
          <w:rFonts w:cs="Arial"/>
          <w:szCs w:val="22"/>
        </w:rPr>
      </w:pPr>
    </w:p>
    <w:p w:rsidR="007D3B88" w:rsidRDefault="007D3B88" w:rsidP="007D3B88">
      <w:pPr>
        <w:pStyle w:val="AfiliasiPenulis"/>
        <w:spacing w:line="240" w:lineRule="auto"/>
        <w:ind w:left="1134" w:right="707"/>
        <w:jc w:val="both"/>
        <w:rPr>
          <w:rFonts w:cs="Arial"/>
          <w:szCs w:val="22"/>
        </w:rPr>
      </w:pPr>
    </w:p>
    <w:p w:rsidR="007D3B88" w:rsidRPr="00910216" w:rsidRDefault="007D3B88" w:rsidP="007D3B88">
      <w:pPr>
        <w:pStyle w:val="AfiliasiPenulis"/>
        <w:spacing w:line="240" w:lineRule="auto"/>
        <w:ind w:left="1134" w:right="707"/>
        <w:jc w:val="both"/>
        <w:rPr>
          <w:rFonts w:cs="Arial"/>
          <w:szCs w:val="22"/>
        </w:rPr>
      </w:pPr>
    </w:p>
    <w:tbl>
      <w:tblPr>
        <w:tblStyle w:val="PlainTable21"/>
        <w:tblW w:w="0" w:type="auto"/>
        <w:jc w:val="center"/>
        <w:tblLook w:val="04A0" w:firstRow="1" w:lastRow="0" w:firstColumn="1" w:lastColumn="0" w:noHBand="0" w:noVBand="1"/>
      </w:tblPr>
      <w:tblGrid>
        <w:gridCol w:w="3898"/>
        <w:gridCol w:w="3880"/>
      </w:tblGrid>
      <w:tr w:rsidR="00211497" w:rsidRPr="00355C65" w:rsidTr="009E6F7C">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898" w:type="dxa"/>
          </w:tcPr>
          <w:p w:rsidR="00211497" w:rsidRPr="009E6F7C" w:rsidRDefault="006B01A8" w:rsidP="00691A97">
            <w:pPr>
              <w:pStyle w:val="CorrespondingAuthor"/>
              <w:spacing w:line="276" w:lineRule="auto"/>
              <w:jc w:val="left"/>
              <w:rPr>
                <w:b w:val="0"/>
                <w:i w:val="0"/>
                <w:lang w:val="id-ID"/>
              </w:rPr>
            </w:pPr>
            <w:r w:rsidRPr="009E6F7C">
              <w:rPr>
                <w:b w:val="0"/>
                <w:i w:val="0"/>
                <w:lang w:val="en-ID"/>
              </w:rPr>
              <w:t>Submit</w:t>
            </w:r>
            <w:r w:rsidR="00211497" w:rsidRPr="009E6F7C">
              <w:rPr>
                <w:b w:val="0"/>
                <w:i w:val="0"/>
                <w:lang w:val="id-ID"/>
              </w:rPr>
              <w:t xml:space="preserve"> : hh-bb-tttt</w:t>
            </w:r>
          </w:p>
        </w:tc>
        <w:tc>
          <w:tcPr>
            <w:tcW w:w="3880" w:type="dxa"/>
          </w:tcPr>
          <w:p w:rsidR="00211497" w:rsidRPr="009E6F7C" w:rsidRDefault="007C4E60" w:rsidP="007C4E60">
            <w:pPr>
              <w:pStyle w:val="CorrespondingAuthor"/>
              <w:spacing w:line="276" w:lineRule="auto"/>
              <w:jc w:val="right"/>
              <w:cnfStyle w:val="100000000000" w:firstRow="1" w:lastRow="0" w:firstColumn="0" w:lastColumn="0" w:oddVBand="0" w:evenVBand="0" w:oddHBand="0" w:evenHBand="0" w:firstRowFirstColumn="0" w:firstRowLastColumn="0" w:lastRowFirstColumn="0" w:lastRowLastColumn="0"/>
              <w:rPr>
                <w:b w:val="0"/>
                <w:i w:val="0"/>
                <w:lang w:val="id-ID"/>
              </w:rPr>
            </w:pPr>
            <w:r>
              <w:rPr>
                <w:b w:val="0"/>
                <w:i w:val="0"/>
                <w:lang w:val="en-ID"/>
              </w:rPr>
              <w:t>Accept</w:t>
            </w:r>
            <w:r w:rsidR="00211497" w:rsidRPr="009E6F7C">
              <w:rPr>
                <w:b w:val="0"/>
                <w:i w:val="0"/>
                <w:lang w:val="id-ID"/>
              </w:rPr>
              <w:t xml:space="preserve"> : hh-bb-tttt</w:t>
            </w:r>
          </w:p>
        </w:tc>
      </w:tr>
      <w:tr w:rsidR="009E6F7C" w:rsidTr="009E6F7C">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7778" w:type="dxa"/>
            <w:gridSpan w:val="2"/>
          </w:tcPr>
          <w:p w:rsidR="009E6F7C" w:rsidRPr="009E6F7C" w:rsidRDefault="009E6F7C" w:rsidP="009E6F7C">
            <w:pPr>
              <w:pStyle w:val="CorrespondingAuthor"/>
              <w:spacing w:line="276" w:lineRule="auto"/>
              <w:rPr>
                <w:b w:val="0"/>
                <w:i w:val="0"/>
                <w:sz w:val="20"/>
                <w:szCs w:val="20"/>
                <w:lang w:val="en-ID"/>
              </w:rPr>
            </w:pPr>
            <w:r w:rsidRPr="009E6F7C">
              <w:rPr>
                <w:b w:val="0"/>
                <w:i w:val="0"/>
                <w:sz w:val="20"/>
                <w:szCs w:val="20"/>
                <w:lang w:val="en-ID"/>
              </w:rPr>
              <w:t>Doi:</w:t>
            </w:r>
            <w:r w:rsidRPr="009E6F7C">
              <w:rPr>
                <w:b w:val="0"/>
                <w:sz w:val="20"/>
                <w:szCs w:val="20"/>
              </w:rPr>
              <w:t xml:space="preserve"> </w:t>
            </w:r>
            <w:r w:rsidRPr="009E6F7C">
              <w:rPr>
                <w:b w:val="0"/>
                <w:i w:val="0"/>
                <w:sz w:val="20"/>
                <w:szCs w:val="20"/>
                <w:lang w:val="en-ID"/>
              </w:rPr>
              <w:t>http://~</w:t>
            </w:r>
          </w:p>
        </w:tc>
      </w:tr>
    </w:tbl>
    <w:p w:rsidR="00EE68E3" w:rsidRDefault="00211497" w:rsidP="004D619A">
      <w:pPr>
        <w:pStyle w:val="NamaPenulis"/>
        <w:spacing w:line="276" w:lineRule="auto"/>
        <w:ind w:firstLine="720"/>
        <w:rPr>
          <w:b/>
          <w:color w:val="FF0000"/>
        </w:rPr>
      </w:pPr>
      <w:r>
        <w:rPr>
          <w:b/>
          <w:lang w:val="id-ID"/>
        </w:rPr>
        <w:lastRenderedPageBreak/>
        <w:t>PENDAHULUAN</w:t>
      </w:r>
      <w:r w:rsidRPr="00F62A5D">
        <w:rPr>
          <w:b/>
        </w:rPr>
        <w:t xml:space="preserve"> </w:t>
      </w:r>
    </w:p>
    <w:p w:rsidR="00436E32" w:rsidRPr="006F6198" w:rsidRDefault="00436E32" w:rsidP="00FF1328">
      <w:pPr>
        <w:pStyle w:val="NamaPenulis"/>
        <w:spacing w:line="276" w:lineRule="auto"/>
        <w:jc w:val="both"/>
        <w:rPr>
          <w:i/>
          <w:color w:val="FF0000"/>
          <w:sz w:val="24"/>
          <w:szCs w:val="24"/>
        </w:rPr>
      </w:pPr>
    </w:p>
    <w:p w:rsidR="00F90F78" w:rsidRDefault="00F90F78" w:rsidP="00F90F78">
      <w:pPr>
        <w:pStyle w:val="NamaPenulis"/>
        <w:jc w:val="both"/>
        <w:rPr>
          <w:iCs/>
          <w:color w:val="000000" w:themeColor="text1"/>
          <w:spacing w:val="4"/>
          <w:sz w:val="24"/>
          <w:szCs w:val="24"/>
        </w:rPr>
      </w:pPr>
      <w:r w:rsidRPr="00F90F78">
        <w:rPr>
          <w:iCs/>
          <w:color w:val="000000" w:themeColor="text1"/>
          <w:spacing w:val="4"/>
          <w:sz w:val="24"/>
          <w:szCs w:val="24"/>
        </w:rPr>
        <w:t>Hukum perdata merupakan keseluruhan kaidah-kaidah hukum, baik itu yang tertulis maupun tidak tertulis yang mengatur hubungan antara subjek hukum satu dengan dengan subjek hukum yang lain dalam hubungan kekeluargaan dan di dalam pergaulan kemasyarakatan. Menurut Riduan Syahrani, hukum perdata ialah hukum yang mengatur hubungan hukum antara orang yang satu dengan orang lain di dalam masyarakat yang menitikberatkan kepada kepentingan perseorangan.</w:t>
      </w:r>
      <w:r>
        <w:rPr>
          <w:rStyle w:val="FootnoteReference"/>
          <w:iCs/>
          <w:color w:val="000000" w:themeColor="text1"/>
          <w:spacing w:val="4"/>
          <w:sz w:val="24"/>
          <w:szCs w:val="24"/>
        </w:rPr>
        <w:footnoteReference w:id="1"/>
      </w:r>
    </w:p>
    <w:p w:rsidR="00F90F78" w:rsidRPr="00F90F78" w:rsidRDefault="00F90F78" w:rsidP="00F90F78">
      <w:pPr>
        <w:pStyle w:val="NamaPenulis"/>
        <w:jc w:val="both"/>
        <w:rPr>
          <w:iCs/>
          <w:color w:val="000000" w:themeColor="text1"/>
          <w:spacing w:val="4"/>
          <w:sz w:val="24"/>
          <w:szCs w:val="24"/>
        </w:rPr>
      </w:pPr>
      <w:r w:rsidRPr="00F90F78">
        <w:rPr>
          <w:iCs/>
          <w:color w:val="000000" w:themeColor="text1"/>
          <w:spacing w:val="4"/>
          <w:sz w:val="24"/>
          <w:szCs w:val="24"/>
        </w:rPr>
        <w:t xml:space="preserve">  </w:t>
      </w:r>
    </w:p>
    <w:p w:rsidR="00F90F78" w:rsidRDefault="00F90F78" w:rsidP="00F90F78">
      <w:pPr>
        <w:pStyle w:val="NamaPenulis"/>
        <w:jc w:val="both"/>
        <w:rPr>
          <w:iCs/>
          <w:color w:val="000000" w:themeColor="text1"/>
          <w:spacing w:val="4"/>
          <w:sz w:val="24"/>
          <w:szCs w:val="24"/>
        </w:rPr>
      </w:pPr>
      <w:r w:rsidRPr="00F90F78">
        <w:rPr>
          <w:iCs/>
          <w:color w:val="000000" w:themeColor="text1"/>
          <w:spacing w:val="4"/>
          <w:sz w:val="24"/>
          <w:szCs w:val="24"/>
        </w:rPr>
        <w:t>Hukum perdata memberikan perlindungan hukum untuk mencegah tindakan main hakim sendiri dan untuk menciptakan suasana yang tertib. Salah satu tugas hakim di pengadilan untuk menyelesaikan perkara perdata yaitu menyelidiki apakah ada hubungan hukum atau tidak mengenai dasar gugatan yang diajukan oleh penggugat. Selain itu juga tahu akan kebenaran peristiwa yang bersangkutan seca</w:t>
      </w:r>
      <w:r>
        <w:rPr>
          <w:iCs/>
          <w:color w:val="000000" w:themeColor="text1"/>
          <w:spacing w:val="4"/>
          <w:sz w:val="24"/>
          <w:szCs w:val="24"/>
        </w:rPr>
        <w:t>ra objektif melalui pembuktian.</w:t>
      </w:r>
      <w:r>
        <w:rPr>
          <w:rStyle w:val="FootnoteReference"/>
          <w:iCs/>
          <w:color w:val="000000" w:themeColor="text1"/>
          <w:spacing w:val="4"/>
          <w:sz w:val="24"/>
          <w:szCs w:val="24"/>
        </w:rPr>
        <w:footnoteReference w:id="2"/>
      </w:r>
      <w:r w:rsidRPr="00F90F78">
        <w:rPr>
          <w:iCs/>
          <w:color w:val="000000" w:themeColor="text1"/>
          <w:spacing w:val="4"/>
          <w:sz w:val="24"/>
          <w:szCs w:val="24"/>
        </w:rPr>
        <w:t xml:space="preserve"> Pembuktian disini dimaksudkan untuk memperoleh kebenaran suatu peristiwa dan bertujuan untuk menetapkan hubungan hukum antara kedua belah pihak dan menerapkan putusan berdasarkan hasil pembuktian. Hukum pembuktian dalam hukum acara perdata menduduki tempat yang amat penting dan sangat komplek dalam proses litigasi. Keadaan kompleksitasnya makin rumit, karena bukti berkaitan dengan kemampuan merekontruksi kejadian atau peristiwa masa lalu (past event) sebagai suatu kebenaran (truth). Meskipun kebenaran yang dicari dan diwujudkan dalam proses peradilan perdata, bukan kebenaran yang bersifat absolut (ultimate absoluth), tetapi bersifat kebenaran relatif atau bahkan cukup bersifat kemungkinan (probable), namun untuk mencari kebenaran yang demikian tetap menghadapi kesulitan.</w:t>
      </w:r>
      <w:r>
        <w:rPr>
          <w:rStyle w:val="FootnoteReference"/>
          <w:iCs/>
          <w:color w:val="000000" w:themeColor="text1"/>
          <w:spacing w:val="4"/>
          <w:sz w:val="24"/>
          <w:szCs w:val="24"/>
        </w:rPr>
        <w:footnoteReference w:id="3"/>
      </w:r>
    </w:p>
    <w:p w:rsidR="00F90F78" w:rsidRPr="00F90F78" w:rsidRDefault="00F90F78" w:rsidP="00F90F78">
      <w:pPr>
        <w:pStyle w:val="NamaPenulis"/>
        <w:jc w:val="both"/>
        <w:rPr>
          <w:iCs/>
          <w:color w:val="000000" w:themeColor="text1"/>
          <w:spacing w:val="4"/>
          <w:sz w:val="24"/>
          <w:szCs w:val="24"/>
        </w:rPr>
      </w:pPr>
      <w:r w:rsidRPr="00F90F78">
        <w:rPr>
          <w:iCs/>
          <w:color w:val="000000" w:themeColor="text1"/>
          <w:spacing w:val="4"/>
          <w:sz w:val="24"/>
          <w:szCs w:val="24"/>
        </w:rPr>
        <w:t xml:space="preserve"> </w:t>
      </w:r>
    </w:p>
    <w:p w:rsidR="00F90F78" w:rsidRDefault="00F90F78" w:rsidP="00F90F78">
      <w:pPr>
        <w:pStyle w:val="NamaPenulis"/>
        <w:jc w:val="both"/>
        <w:rPr>
          <w:iCs/>
          <w:color w:val="000000" w:themeColor="text1"/>
          <w:spacing w:val="4"/>
          <w:sz w:val="24"/>
          <w:szCs w:val="24"/>
        </w:rPr>
      </w:pPr>
      <w:r w:rsidRPr="00F90F78">
        <w:rPr>
          <w:iCs/>
          <w:color w:val="000000" w:themeColor="text1"/>
          <w:spacing w:val="4"/>
          <w:sz w:val="24"/>
          <w:szCs w:val="24"/>
        </w:rPr>
        <w:t>Proses pembuktian sebagai salah satu proses acara dalam hukum perdata formil menjadi salah satu proses yang paling penting. Suatu perkara di pengadilan tidak dapat putus oleh hakim tanpa didahului dengan suatu pembuktian. Pembuktian dalam arti yuridis sendiri tidak dimaksudkan untuk mencari kebenaran yang mutlak. Hal ini disebabkan karena alat-alat bukti, baik berupa pengakuan, kesaksian atau surat-surat yang diajukan oleh para pihak yang bersengketa kemungkinan tidak benar palsu atau dipalsukan. Padahal hakim dalam memeriksa setiap perkara yang diajukan kepadanya harus memberikan putusan yang dapat diterima oleh kedua belah pihak.</w:t>
      </w:r>
    </w:p>
    <w:p w:rsidR="00F90F78" w:rsidRPr="00F90F78" w:rsidRDefault="00F90F78" w:rsidP="00F90F78">
      <w:pPr>
        <w:pStyle w:val="NamaPenulis"/>
        <w:jc w:val="both"/>
        <w:rPr>
          <w:iCs/>
          <w:color w:val="000000" w:themeColor="text1"/>
          <w:spacing w:val="4"/>
          <w:sz w:val="24"/>
          <w:szCs w:val="24"/>
        </w:rPr>
      </w:pPr>
    </w:p>
    <w:p w:rsidR="00F90F78" w:rsidRDefault="00F90F78" w:rsidP="00F90F78">
      <w:pPr>
        <w:pStyle w:val="NamaPenulis"/>
        <w:jc w:val="both"/>
        <w:rPr>
          <w:iCs/>
          <w:color w:val="000000" w:themeColor="text1"/>
          <w:spacing w:val="4"/>
          <w:sz w:val="24"/>
          <w:szCs w:val="24"/>
        </w:rPr>
      </w:pPr>
      <w:r w:rsidRPr="00F90F78">
        <w:rPr>
          <w:iCs/>
          <w:color w:val="000000" w:themeColor="text1"/>
          <w:spacing w:val="4"/>
          <w:sz w:val="24"/>
          <w:szCs w:val="24"/>
        </w:rPr>
        <w:t xml:space="preserve">Menurut Ridwan Syahrani yang dimaksud dengan pembuktian adalah penyajian alat-alat bukti yang sah berdasarkan hukum kepada hakim yang memeriksa perkara agar </w:t>
      </w:r>
      <w:r w:rsidRPr="00F90F78">
        <w:rPr>
          <w:iCs/>
          <w:color w:val="000000" w:themeColor="text1"/>
          <w:spacing w:val="4"/>
          <w:sz w:val="24"/>
          <w:szCs w:val="24"/>
        </w:rPr>
        <w:lastRenderedPageBreak/>
        <w:t>memberikan kebenaran</w:t>
      </w:r>
      <w:r>
        <w:rPr>
          <w:iCs/>
          <w:color w:val="000000" w:themeColor="text1"/>
          <w:spacing w:val="4"/>
          <w:sz w:val="24"/>
          <w:szCs w:val="24"/>
        </w:rPr>
        <w:t xml:space="preserve"> dan kepastian suatu peristiwa.</w:t>
      </w:r>
      <w:r>
        <w:rPr>
          <w:rStyle w:val="FootnoteReference"/>
          <w:iCs/>
          <w:color w:val="000000" w:themeColor="text1"/>
          <w:spacing w:val="4"/>
          <w:sz w:val="24"/>
          <w:szCs w:val="24"/>
        </w:rPr>
        <w:footnoteReference w:id="4"/>
      </w:r>
      <w:r w:rsidRPr="00F90F78">
        <w:rPr>
          <w:iCs/>
          <w:color w:val="000000" w:themeColor="text1"/>
          <w:spacing w:val="4"/>
          <w:sz w:val="24"/>
          <w:szCs w:val="24"/>
        </w:rPr>
        <w:t xml:space="preserve"> Secara umum, beban pembuktian dalam hukum acara perdata yang dianut Indonesia adalah beban bukti yang berasaskan bahwa “siapa yang mendalilkan, maka wajib untuk membuktikannya”. Asas tersebut dapat ditemukan di Pasal 163HIR/283 RBg menyatakan “barang siapa mengatakan mempunyai suatu hak atau mengemukakan suatu perbuatan untuk meneguhkan haknya itu, atau untuk membantah hak orang lain, haruslah membuktikan adanya perbuatan itu” dan Pasal 1865 KUH Perdata menyatakan “setiap orang yang mendalilkan bahwa ia mempunyai suatu hak atau guna meneguhkan haknya sendiri maupun membantah suatu hak orang lain maka menunjuk pada suatu peristiwa, diwajibkan membukti</w:t>
      </w:r>
      <w:r>
        <w:rPr>
          <w:iCs/>
          <w:color w:val="000000" w:themeColor="text1"/>
          <w:spacing w:val="4"/>
          <w:sz w:val="24"/>
          <w:szCs w:val="24"/>
        </w:rPr>
        <w:t>kan adanya hak atau peristiwa”.</w:t>
      </w:r>
    </w:p>
    <w:p w:rsidR="00F90F78" w:rsidRDefault="00F90F78" w:rsidP="00F90F78">
      <w:pPr>
        <w:pStyle w:val="NamaPenulis"/>
        <w:jc w:val="both"/>
        <w:rPr>
          <w:iCs/>
          <w:color w:val="000000" w:themeColor="text1"/>
          <w:spacing w:val="4"/>
          <w:sz w:val="24"/>
          <w:szCs w:val="24"/>
        </w:rPr>
      </w:pPr>
    </w:p>
    <w:p w:rsidR="00F90F78" w:rsidRPr="00F90F78" w:rsidRDefault="00F90F78" w:rsidP="00F90F78">
      <w:pPr>
        <w:pStyle w:val="NamaPenulis"/>
        <w:jc w:val="both"/>
        <w:rPr>
          <w:iCs/>
          <w:color w:val="000000" w:themeColor="text1"/>
          <w:spacing w:val="4"/>
          <w:sz w:val="24"/>
          <w:szCs w:val="24"/>
        </w:rPr>
      </w:pPr>
      <w:r w:rsidRPr="00F90F78">
        <w:rPr>
          <w:iCs/>
          <w:color w:val="000000" w:themeColor="text1"/>
          <w:spacing w:val="4"/>
          <w:sz w:val="24"/>
          <w:szCs w:val="24"/>
        </w:rPr>
        <w:t>Sertifikat hak atas tanah itu sendiri merupakan surat tanda bukti hak yang berlaku sebagai alat pembuktian yang kuat mengenai data fisik dan data yuridis yang termuat di dalamnya, sepanjang data fisik dan data yuridis tersebut sesuai dengan data yang ada dalam surat ukur dan buku tanah hak yang bersangkutan. Demikian ketentuan pasal 32 ayat (1) PP No. 24 Tahun 1997 tentang Pendaftaran Tanah.</w:t>
      </w:r>
    </w:p>
    <w:p w:rsidR="00F90F78" w:rsidRDefault="00F90F78" w:rsidP="00F90F78">
      <w:pPr>
        <w:pStyle w:val="NamaPenulis"/>
        <w:jc w:val="both"/>
        <w:rPr>
          <w:iCs/>
          <w:color w:val="000000" w:themeColor="text1"/>
          <w:spacing w:val="4"/>
          <w:sz w:val="24"/>
          <w:szCs w:val="24"/>
        </w:rPr>
      </w:pPr>
      <w:r>
        <w:rPr>
          <w:iCs/>
          <w:color w:val="000000" w:themeColor="text1"/>
          <w:spacing w:val="4"/>
          <w:sz w:val="24"/>
          <w:szCs w:val="24"/>
        </w:rPr>
        <w:t xml:space="preserve"> </w:t>
      </w:r>
    </w:p>
    <w:p w:rsidR="00F90F78" w:rsidRPr="00F90F78" w:rsidRDefault="00F90F78" w:rsidP="00F90F78">
      <w:pPr>
        <w:pStyle w:val="NamaPenulis"/>
        <w:jc w:val="both"/>
        <w:rPr>
          <w:iCs/>
          <w:color w:val="000000" w:themeColor="text1"/>
          <w:spacing w:val="4"/>
          <w:sz w:val="24"/>
          <w:szCs w:val="24"/>
        </w:rPr>
      </w:pPr>
      <w:r w:rsidRPr="00F90F78">
        <w:rPr>
          <w:iCs/>
          <w:color w:val="000000" w:themeColor="text1"/>
          <w:spacing w:val="4"/>
          <w:sz w:val="24"/>
          <w:szCs w:val="24"/>
        </w:rPr>
        <w:t>Ketentuan dalam Pasal 163 HIR dan Pasal 1865 KUH Perdata merupakan suatu pedoman bagi hakim dalam menentukan beban pembuktian, apabila hakim secara mutlak mengikuti aturan tersebut, maka akan menimbulkan beban pembuktian yang berimbang antara para pihak. Kebenaran peristiwa hanya dapat diperoleh dengan proses pembuktian dan untuk dapat menjatuhkan putusan yang adil maka hakim harus mengetahui peristiwa yang telah dibuktikan kebenarannya hukum acara perdata mengenal bermacam-macam alat bukti, sedangkan menurut acara perdata hakim terikat pada alat-alat bukti yang sah, yang berarti bahwa hakim hanya boleh mengambil putusan berdasarkan alat-alat bukti yang ditentukan oleh undang-undang saja. Alat-alat bukti dalam hukum acara perdata yang disebutkan oleh undang-undang sebagaimana diatur Pasal 1866 KUH Perdata, yaitu</w:t>
      </w:r>
    </w:p>
    <w:p w:rsidR="00F90F78" w:rsidRDefault="00F90F78" w:rsidP="00F90F78">
      <w:pPr>
        <w:pStyle w:val="NamaPenulis"/>
        <w:jc w:val="both"/>
        <w:rPr>
          <w:iCs/>
          <w:color w:val="000000" w:themeColor="text1"/>
          <w:spacing w:val="4"/>
          <w:sz w:val="24"/>
          <w:szCs w:val="24"/>
        </w:rPr>
      </w:pPr>
    </w:p>
    <w:p w:rsidR="00F90F78" w:rsidRPr="00F90F78" w:rsidRDefault="00F90F78" w:rsidP="00F90F78">
      <w:pPr>
        <w:pStyle w:val="NamaPenulis"/>
        <w:numPr>
          <w:ilvl w:val="0"/>
          <w:numId w:val="33"/>
        </w:numPr>
        <w:jc w:val="both"/>
        <w:rPr>
          <w:iCs/>
          <w:color w:val="000000" w:themeColor="text1"/>
          <w:spacing w:val="4"/>
          <w:sz w:val="24"/>
          <w:szCs w:val="24"/>
        </w:rPr>
      </w:pPr>
      <w:r w:rsidRPr="00F90F78">
        <w:rPr>
          <w:iCs/>
          <w:color w:val="000000" w:themeColor="text1"/>
          <w:spacing w:val="4"/>
          <w:sz w:val="24"/>
          <w:szCs w:val="24"/>
        </w:rPr>
        <w:t xml:space="preserve">bukti tulisan/bukti dengan surat, </w:t>
      </w:r>
    </w:p>
    <w:p w:rsidR="00F90F78" w:rsidRPr="00F90F78" w:rsidRDefault="00F90F78" w:rsidP="00F90F78">
      <w:pPr>
        <w:pStyle w:val="NamaPenulis"/>
        <w:numPr>
          <w:ilvl w:val="0"/>
          <w:numId w:val="33"/>
        </w:numPr>
        <w:jc w:val="both"/>
        <w:rPr>
          <w:iCs/>
          <w:color w:val="000000" w:themeColor="text1"/>
          <w:spacing w:val="4"/>
          <w:sz w:val="24"/>
          <w:szCs w:val="24"/>
        </w:rPr>
      </w:pPr>
      <w:r w:rsidRPr="00F90F78">
        <w:rPr>
          <w:iCs/>
          <w:color w:val="000000" w:themeColor="text1"/>
          <w:spacing w:val="4"/>
          <w:sz w:val="24"/>
          <w:szCs w:val="24"/>
        </w:rPr>
        <w:t xml:space="preserve">bukti saksi, </w:t>
      </w:r>
    </w:p>
    <w:p w:rsidR="00F90F78" w:rsidRPr="00F90F78" w:rsidRDefault="00F90F78" w:rsidP="00F90F78">
      <w:pPr>
        <w:pStyle w:val="NamaPenulis"/>
        <w:numPr>
          <w:ilvl w:val="0"/>
          <w:numId w:val="33"/>
        </w:numPr>
        <w:jc w:val="both"/>
        <w:rPr>
          <w:iCs/>
          <w:color w:val="000000" w:themeColor="text1"/>
          <w:spacing w:val="4"/>
          <w:sz w:val="24"/>
          <w:szCs w:val="24"/>
        </w:rPr>
      </w:pPr>
      <w:r w:rsidRPr="00F90F78">
        <w:rPr>
          <w:iCs/>
          <w:color w:val="000000" w:themeColor="text1"/>
          <w:spacing w:val="4"/>
          <w:sz w:val="24"/>
          <w:szCs w:val="24"/>
        </w:rPr>
        <w:t xml:space="preserve">persangkaan, </w:t>
      </w:r>
    </w:p>
    <w:p w:rsidR="00F90F78" w:rsidRPr="00F90F78" w:rsidRDefault="00F90F78" w:rsidP="00F90F78">
      <w:pPr>
        <w:pStyle w:val="NamaPenulis"/>
        <w:numPr>
          <w:ilvl w:val="0"/>
          <w:numId w:val="33"/>
        </w:numPr>
        <w:jc w:val="both"/>
        <w:rPr>
          <w:iCs/>
          <w:color w:val="000000" w:themeColor="text1"/>
          <w:spacing w:val="4"/>
          <w:sz w:val="24"/>
          <w:szCs w:val="24"/>
        </w:rPr>
      </w:pPr>
      <w:r w:rsidRPr="00F90F78">
        <w:rPr>
          <w:iCs/>
          <w:color w:val="000000" w:themeColor="text1"/>
          <w:spacing w:val="4"/>
          <w:sz w:val="24"/>
          <w:szCs w:val="24"/>
        </w:rPr>
        <w:t>pengakuan,</w:t>
      </w:r>
    </w:p>
    <w:p w:rsidR="00F90F78" w:rsidRPr="00F90F78" w:rsidRDefault="00F90F78" w:rsidP="00F90F78">
      <w:pPr>
        <w:pStyle w:val="NamaPenulis"/>
        <w:numPr>
          <w:ilvl w:val="0"/>
          <w:numId w:val="33"/>
        </w:numPr>
        <w:jc w:val="both"/>
        <w:rPr>
          <w:iCs/>
          <w:color w:val="000000" w:themeColor="text1"/>
          <w:spacing w:val="4"/>
          <w:sz w:val="24"/>
          <w:szCs w:val="24"/>
        </w:rPr>
      </w:pPr>
      <w:r w:rsidRPr="00F90F78">
        <w:rPr>
          <w:iCs/>
          <w:color w:val="000000" w:themeColor="text1"/>
          <w:spacing w:val="4"/>
          <w:sz w:val="24"/>
          <w:szCs w:val="24"/>
        </w:rPr>
        <w:t>sumpah.</w:t>
      </w:r>
    </w:p>
    <w:p w:rsidR="00F90F78" w:rsidRDefault="00F90F78" w:rsidP="00F90F78">
      <w:pPr>
        <w:pStyle w:val="NamaPenulis"/>
        <w:jc w:val="both"/>
        <w:rPr>
          <w:iCs/>
          <w:color w:val="000000" w:themeColor="text1"/>
          <w:spacing w:val="4"/>
          <w:sz w:val="24"/>
          <w:szCs w:val="24"/>
        </w:rPr>
      </w:pPr>
    </w:p>
    <w:p w:rsidR="00F90F78" w:rsidRPr="00F90F78" w:rsidRDefault="00F90F78" w:rsidP="00F90F78">
      <w:pPr>
        <w:pStyle w:val="NamaPenulis"/>
        <w:jc w:val="both"/>
        <w:rPr>
          <w:iCs/>
          <w:color w:val="000000" w:themeColor="text1"/>
          <w:spacing w:val="4"/>
          <w:sz w:val="24"/>
          <w:szCs w:val="24"/>
        </w:rPr>
      </w:pPr>
      <w:r w:rsidRPr="00F90F78">
        <w:rPr>
          <w:iCs/>
          <w:color w:val="000000" w:themeColor="text1"/>
          <w:spacing w:val="4"/>
          <w:sz w:val="24"/>
          <w:szCs w:val="24"/>
        </w:rPr>
        <w:t>Bukti dalam hal perkara perdata, tidak semua keadaan dan atau objek sengketa dalam persidangan dapat dijelaskan dan dihadirkan di muka persidangan. Oleh karena itu, jika dianggap perlu hakim dapat melakukan p</w:t>
      </w:r>
      <w:r>
        <w:rPr>
          <w:iCs/>
          <w:color w:val="000000" w:themeColor="text1"/>
          <w:spacing w:val="4"/>
          <w:sz w:val="24"/>
          <w:szCs w:val="24"/>
        </w:rPr>
        <w:t xml:space="preserve">emeriksaan setempat </w:t>
      </w:r>
      <w:r>
        <w:rPr>
          <w:iCs/>
          <w:color w:val="000000" w:themeColor="text1"/>
          <w:spacing w:val="4"/>
          <w:sz w:val="24"/>
          <w:szCs w:val="24"/>
        </w:rPr>
        <w:lastRenderedPageBreak/>
        <w:t>(descente).</w:t>
      </w:r>
      <w:r>
        <w:rPr>
          <w:rStyle w:val="FootnoteReference"/>
          <w:iCs/>
          <w:color w:val="000000" w:themeColor="text1"/>
          <w:spacing w:val="4"/>
          <w:sz w:val="24"/>
          <w:szCs w:val="24"/>
        </w:rPr>
        <w:footnoteReference w:id="5"/>
      </w:r>
      <w:r w:rsidRPr="00F90F78">
        <w:rPr>
          <w:iCs/>
          <w:color w:val="000000" w:themeColor="text1"/>
          <w:spacing w:val="4"/>
          <w:sz w:val="24"/>
          <w:szCs w:val="24"/>
        </w:rPr>
        <w:t xml:space="preserve"> Mencari kebenaran formil melalui bukti di sidang perkara perdata itu tidak mudah, sering di temukan banyak kesulitan karena dalam hal alat bukti yang satu dengan yang lain saling bertentangan. Sengketa tanah misalnya, seringkali ditemukan perbedaan mengenai fakta yang tidak jelas dan juga kadang tidak pasti. Tidak jarang pula mengenai batas-batas tanah, luas, nama jalan, juga keadaan tanah yang disampaikan oleh kedua belah pihak yang bersengketa juga bertentangan. Hakim juga kesusahan dalam melakukan buktinya, mengingat bahwa objek sengketa tidak dapat dihadirkan di muka persidangan. Maka langkah untuk melakukan bukti mengenai kejelasan dan kepastian tentang objek sengketa yaitu dengan melakukan pemeriksaan setempat.</w:t>
      </w:r>
    </w:p>
    <w:p w:rsidR="00F90F78" w:rsidRDefault="00F90F78" w:rsidP="00F90F78">
      <w:pPr>
        <w:pStyle w:val="NamaPenulis"/>
        <w:jc w:val="both"/>
        <w:rPr>
          <w:iCs/>
          <w:color w:val="000000" w:themeColor="text1"/>
          <w:spacing w:val="4"/>
          <w:sz w:val="24"/>
          <w:szCs w:val="24"/>
        </w:rPr>
      </w:pPr>
    </w:p>
    <w:p w:rsidR="00F90F78" w:rsidRDefault="00F90F78" w:rsidP="00F90F78">
      <w:pPr>
        <w:pStyle w:val="NamaPenulis"/>
        <w:jc w:val="both"/>
        <w:rPr>
          <w:iCs/>
          <w:color w:val="000000" w:themeColor="text1"/>
          <w:spacing w:val="4"/>
          <w:sz w:val="24"/>
          <w:szCs w:val="24"/>
        </w:rPr>
      </w:pPr>
      <w:r w:rsidRPr="00F90F78">
        <w:rPr>
          <w:iCs/>
          <w:color w:val="000000" w:themeColor="text1"/>
          <w:spacing w:val="4"/>
          <w:sz w:val="24"/>
          <w:szCs w:val="24"/>
        </w:rPr>
        <w:t xml:space="preserve">Pasal 153 HIR menyatakan bahwa “bila ketua menganggap perlu dapat mengangkat seorang atau dua orang konsistensi dari majelis, yang dengan bantuan panitera pengadilan akan melihat keadaan setempat dan melakukan pemeriksaan yang dapat memberi keterangan pada hakim”. Pasal ini menjelaskan bahwa jika hakim memang memerlukan keterangan mengenai objek sengketa yang tidak dapat dihadirkan di muka persidangan maka hakim dapat mengangkat seorang wakil untuk melakukan pemeriksaan setempat. </w:t>
      </w:r>
    </w:p>
    <w:p w:rsidR="00F90F78" w:rsidRPr="00F90F78" w:rsidRDefault="00F90F78" w:rsidP="00F90F78">
      <w:pPr>
        <w:pStyle w:val="NamaPenulis"/>
        <w:jc w:val="both"/>
        <w:rPr>
          <w:iCs/>
          <w:color w:val="000000" w:themeColor="text1"/>
          <w:spacing w:val="4"/>
          <w:sz w:val="24"/>
          <w:szCs w:val="24"/>
        </w:rPr>
      </w:pPr>
    </w:p>
    <w:p w:rsidR="000376B4" w:rsidRDefault="00F90F78" w:rsidP="00F90F78">
      <w:pPr>
        <w:pStyle w:val="NamaPenulis"/>
        <w:spacing w:line="276" w:lineRule="auto"/>
        <w:jc w:val="both"/>
        <w:rPr>
          <w:iCs/>
          <w:color w:val="000000" w:themeColor="text1"/>
          <w:spacing w:val="4"/>
          <w:sz w:val="24"/>
          <w:szCs w:val="24"/>
        </w:rPr>
      </w:pPr>
      <w:r w:rsidRPr="00F90F78">
        <w:rPr>
          <w:iCs/>
          <w:color w:val="000000" w:themeColor="text1"/>
          <w:spacing w:val="4"/>
          <w:sz w:val="24"/>
          <w:szCs w:val="24"/>
        </w:rPr>
        <w:t>Dalam pemeriksaan setempat, hakim berkedudukan sebagai pelaksana pemeriksaan, walaupun pada dasarnya hakim dapat mengangkat seorang atau dua orang komisaris dari majelis yang mana mereka memiliki tugas melihat keadaan yang sebenarnya di lapangan. Akan tetapi hakim akan lebih yakin tentunya jika hakim dapat melihat sendiri keadaan yang sebenarnya terjadi, sebab fungsi dari pemeriksaan setempat tersebut merupakan alat bukti yang bebas. Artinya kekuatan buktinya diserahkan kepada hakim. Berdasarkan latar belakang tersebut, penulis tertarik untuk melakukan penelitian tentang “ANALISIS HUKUM PUTUSAN NO. 29/PDT.G/2019/PN SGM TENTANG KEKUATAN PEMBUKTIAN PADA PERKARA PERDATA”</w:t>
      </w:r>
    </w:p>
    <w:p w:rsidR="00F90F78" w:rsidRDefault="00F90F78" w:rsidP="00F90F78">
      <w:pPr>
        <w:pStyle w:val="NamaPenulis"/>
        <w:spacing w:line="276" w:lineRule="auto"/>
        <w:jc w:val="both"/>
        <w:rPr>
          <w:iCs/>
          <w:color w:val="000000" w:themeColor="text1"/>
          <w:spacing w:val="4"/>
          <w:sz w:val="24"/>
          <w:szCs w:val="24"/>
        </w:rPr>
      </w:pPr>
    </w:p>
    <w:p w:rsidR="000376B4" w:rsidRDefault="000376B4" w:rsidP="00B40C2A">
      <w:pPr>
        <w:pStyle w:val="NamaPenulis"/>
        <w:spacing w:line="276" w:lineRule="auto"/>
        <w:jc w:val="both"/>
        <w:rPr>
          <w:color w:val="000000" w:themeColor="text1"/>
          <w:sz w:val="24"/>
          <w:szCs w:val="24"/>
        </w:rPr>
      </w:pPr>
      <w:r>
        <w:rPr>
          <w:iCs/>
          <w:color w:val="000000" w:themeColor="text1"/>
          <w:spacing w:val="4"/>
          <w:sz w:val="24"/>
          <w:szCs w:val="24"/>
        </w:rPr>
        <w:t>Rumusan masalah dari penelitian ini adal</w:t>
      </w:r>
      <w:r w:rsidR="00F90F78">
        <w:rPr>
          <w:iCs/>
          <w:color w:val="000000" w:themeColor="text1"/>
          <w:spacing w:val="4"/>
          <w:sz w:val="24"/>
          <w:szCs w:val="24"/>
        </w:rPr>
        <w:t>ah b</w:t>
      </w:r>
      <w:r w:rsidR="00F90F78" w:rsidRPr="00F90F78">
        <w:rPr>
          <w:iCs/>
          <w:color w:val="000000" w:themeColor="text1"/>
          <w:spacing w:val="4"/>
          <w:sz w:val="24"/>
          <w:szCs w:val="24"/>
        </w:rPr>
        <w:t>agaimana kekuatan pembuktian berdasarkan putusan (No.29/Pdt.G/2019/PN Sgm) pada pemeriksaan perkara perdata?</w:t>
      </w:r>
      <w:r>
        <w:rPr>
          <w:iCs/>
          <w:color w:val="000000" w:themeColor="text1"/>
          <w:spacing w:val="4"/>
          <w:sz w:val="24"/>
          <w:szCs w:val="24"/>
        </w:rPr>
        <w:t xml:space="preserve"> </w:t>
      </w:r>
      <w:r w:rsidR="0067327A">
        <w:rPr>
          <w:color w:val="000000" w:themeColor="text1"/>
          <w:sz w:val="24"/>
          <w:szCs w:val="24"/>
        </w:rPr>
        <w:t>Tujuan dari penelitian ini adalah u</w:t>
      </w:r>
      <w:r w:rsidR="0067327A" w:rsidRPr="0067327A">
        <w:rPr>
          <w:color w:val="000000" w:themeColor="text1"/>
          <w:sz w:val="24"/>
          <w:szCs w:val="24"/>
        </w:rPr>
        <w:t>ntuk mengetahui dan menganalisis kekuatan pembuktian pemeriksaan dalam perkara perdata berdasarkan No. 29/Pdt.G/2019/PN Sgm</w:t>
      </w:r>
      <w:r>
        <w:rPr>
          <w:color w:val="000000" w:themeColor="text1"/>
          <w:sz w:val="24"/>
          <w:szCs w:val="24"/>
        </w:rPr>
        <w:t xml:space="preserve">. Serta </w:t>
      </w:r>
      <w:r w:rsidR="0067327A" w:rsidRPr="0067327A">
        <w:rPr>
          <w:color w:val="000000" w:themeColor="text1"/>
          <w:sz w:val="24"/>
          <w:szCs w:val="24"/>
        </w:rPr>
        <w:t>Hasil penelitian ini diharapkan dapat dijadikan bahan kajian ilmu hukum terkait kekuatan pembuktian pada perkara perdata khususnya kekuatan bukti pemeriksaan setempat dan menambah literatur yang membahas tentang bukti dalam hukum perdata. Hasil penelitian ini juga dapat dijadikan sebagai bahan referensi dalam penulisan hukum terkait dengan bukti pemeriksaan setempat.</w:t>
      </w:r>
    </w:p>
    <w:p w:rsidR="000376B4" w:rsidRDefault="000376B4" w:rsidP="00B40C2A">
      <w:pPr>
        <w:pStyle w:val="NamaPenulis"/>
        <w:spacing w:line="276" w:lineRule="auto"/>
        <w:jc w:val="both"/>
        <w:rPr>
          <w:iCs/>
          <w:color w:val="000000" w:themeColor="text1"/>
          <w:spacing w:val="4"/>
          <w:sz w:val="24"/>
          <w:szCs w:val="24"/>
        </w:rPr>
      </w:pPr>
    </w:p>
    <w:p w:rsidR="00073C15" w:rsidRDefault="00073C15" w:rsidP="0067327A">
      <w:pPr>
        <w:pStyle w:val="NamaPenulis"/>
        <w:spacing w:line="276" w:lineRule="auto"/>
        <w:jc w:val="left"/>
        <w:rPr>
          <w:b/>
        </w:rPr>
      </w:pPr>
    </w:p>
    <w:p w:rsidR="00EE68E3" w:rsidRDefault="00436E32" w:rsidP="00B40C2A">
      <w:pPr>
        <w:pStyle w:val="NamaPenulis"/>
        <w:spacing w:line="276" w:lineRule="auto"/>
        <w:rPr>
          <w:b/>
        </w:rPr>
      </w:pPr>
      <w:r>
        <w:rPr>
          <w:b/>
          <w:lang w:val="id-ID"/>
        </w:rPr>
        <w:lastRenderedPageBreak/>
        <w:t>METODE</w:t>
      </w:r>
    </w:p>
    <w:p w:rsidR="00436E32" w:rsidRPr="00436E32" w:rsidRDefault="00436E32" w:rsidP="00436E32">
      <w:pPr>
        <w:pStyle w:val="NamaPenulis"/>
        <w:spacing w:line="276" w:lineRule="auto"/>
        <w:rPr>
          <w:i/>
          <w:color w:val="FF0000"/>
        </w:rPr>
      </w:pPr>
    </w:p>
    <w:p w:rsidR="000376B4" w:rsidRPr="0067327A" w:rsidRDefault="000376B4" w:rsidP="0067327A">
      <w:pPr>
        <w:pStyle w:val="NamaPenulis"/>
        <w:jc w:val="both"/>
        <w:rPr>
          <w:rFonts w:asciiTheme="majorHAnsi" w:hAnsiTheme="majorHAnsi" w:cs="Arial"/>
          <w:bCs/>
          <w:color w:val="auto"/>
          <w:spacing w:val="0"/>
          <w:sz w:val="24"/>
          <w:szCs w:val="24"/>
        </w:rPr>
      </w:pPr>
      <w:r w:rsidRPr="000376B4">
        <w:rPr>
          <w:rFonts w:asciiTheme="majorHAnsi" w:hAnsiTheme="majorHAnsi" w:cs="Arial"/>
          <w:bCs/>
          <w:color w:val="auto"/>
          <w:spacing w:val="0"/>
          <w:sz w:val="24"/>
          <w:szCs w:val="24"/>
          <w:lang w:val="id-ID"/>
        </w:rPr>
        <w:t xml:space="preserve">Penulis menggunakan metode </w:t>
      </w:r>
      <w:r w:rsidR="0067327A" w:rsidRPr="0067327A">
        <w:rPr>
          <w:rFonts w:asciiTheme="majorHAnsi" w:hAnsiTheme="majorHAnsi" w:cs="Arial"/>
          <w:bCs/>
          <w:color w:val="auto"/>
          <w:spacing w:val="0"/>
          <w:sz w:val="24"/>
          <w:szCs w:val="24"/>
          <w:lang w:val="id-ID"/>
        </w:rPr>
        <w:t>penelitian empiris, yaitu penelitian dengan menggunakan data-data lapangan sebagai sumber data utama, seperti hasil wawancara dan observasi. Penelitian empiris digunakan untuk menganalisis aturan hukum yang dilihat sebagai pelaku masyarakat yang berpola dalam kehidupan masyarakat yang selalu berinteraksi dan berhubungan dalam aspek kemasyarakatan.</w:t>
      </w:r>
      <w:r w:rsidR="0067327A" w:rsidRPr="0067327A">
        <w:rPr>
          <w:rFonts w:asciiTheme="majorHAnsi" w:hAnsiTheme="majorHAnsi" w:cs="Arial"/>
          <w:bCs/>
          <w:color w:val="auto"/>
          <w:spacing w:val="0"/>
          <w:sz w:val="24"/>
          <w:szCs w:val="24"/>
        </w:rPr>
        <w:t xml:space="preserve"> Penelitian ini dilakukan di Kabupaten Gowa, yaitu di Kantor Pengadilan Negeri Sungguminasa.</w:t>
      </w:r>
      <w:r w:rsidR="0067327A">
        <w:rPr>
          <w:rFonts w:asciiTheme="majorHAnsi" w:hAnsiTheme="majorHAnsi" w:cs="Arial"/>
          <w:bCs/>
          <w:color w:val="auto"/>
          <w:spacing w:val="0"/>
          <w:sz w:val="24"/>
          <w:szCs w:val="24"/>
        </w:rPr>
        <w:t xml:space="preserve"> Data yang digutanakn dalam penelitian ini adalah. 1. </w:t>
      </w:r>
      <w:r w:rsidR="0067327A" w:rsidRPr="0067327A">
        <w:rPr>
          <w:rFonts w:asciiTheme="majorHAnsi" w:hAnsiTheme="majorHAnsi" w:cs="Arial"/>
          <w:bCs/>
          <w:color w:val="auto"/>
          <w:spacing w:val="0"/>
          <w:sz w:val="24"/>
          <w:szCs w:val="24"/>
        </w:rPr>
        <w:t>Data Primer</w:t>
      </w:r>
      <w:r w:rsidR="0067327A">
        <w:rPr>
          <w:rFonts w:asciiTheme="majorHAnsi" w:hAnsiTheme="majorHAnsi" w:cs="Arial"/>
          <w:bCs/>
          <w:color w:val="auto"/>
          <w:spacing w:val="0"/>
          <w:sz w:val="24"/>
          <w:szCs w:val="24"/>
        </w:rPr>
        <w:t>, d</w:t>
      </w:r>
      <w:r w:rsidR="0067327A" w:rsidRPr="0067327A">
        <w:rPr>
          <w:rFonts w:asciiTheme="majorHAnsi" w:hAnsiTheme="majorHAnsi" w:cs="Arial"/>
          <w:bCs/>
          <w:color w:val="auto"/>
          <w:spacing w:val="0"/>
          <w:sz w:val="24"/>
          <w:szCs w:val="24"/>
        </w:rPr>
        <w:t>ata yang diperoleh dari hasil penelitian lapangan dengan cara mengajukan pertanyaan secara lisan (wawancara) maupun dengan mengaju</w:t>
      </w:r>
      <w:r w:rsidR="0067327A">
        <w:rPr>
          <w:rFonts w:asciiTheme="majorHAnsi" w:hAnsiTheme="majorHAnsi" w:cs="Arial"/>
          <w:bCs/>
          <w:color w:val="auto"/>
          <w:spacing w:val="0"/>
          <w:sz w:val="24"/>
          <w:szCs w:val="24"/>
        </w:rPr>
        <w:t>kan pertanyaan secara tertulis. 2.</w:t>
      </w:r>
      <w:r w:rsidR="0067327A">
        <w:rPr>
          <w:rFonts w:asciiTheme="majorHAnsi" w:hAnsiTheme="majorHAnsi" w:cs="Arial"/>
          <w:bCs/>
          <w:color w:val="auto"/>
          <w:spacing w:val="0"/>
          <w:sz w:val="24"/>
          <w:szCs w:val="24"/>
        </w:rPr>
        <w:tab/>
        <w:t>Data Sekunder, d</w:t>
      </w:r>
      <w:r w:rsidR="0067327A" w:rsidRPr="0067327A">
        <w:rPr>
          <w:rFonts w:asciiTheme="majorHAnsi" w:hAnsiTheme="majorHAnsi" w:cs="Arial"/>
          <w:bCs/>
          <w:color w:val="auto"/>
          <w:spacing w:val="0"/>
          <w:sz w:val="24"/>
          <w:szCs w:val="24"/>
        </w:rPr>
        <w:t>ata yang diperoleh dari penelitian bahan pustaka yaitu dengan cara mengumpulkan data yang terdapat dalam peraturan perundangan, buku-buku, dan artikel yang ada hubungannya dengan masalah yang akan diteliti.</w:t>
      </w:r>
      <w:r w:rsidR="0067327A">
        <w:rPr>
          <w:rFonts w:asciiTheme="majorHAnsi" w:hAnsiTheme="majorHAnsi" w:cs="Arial"/>
          <w:bCs/>
          <w:color w:val="auto"/>
          <w:spacing w:val="0"/>
          <w:sz w:val="24"/>
          <w:szCs w:val="24"/>
        </w:rPr>
        <w:t xml:space="preserve"> </w:t>
      </w:r>
    </w:p>
    <w:p w:rsidR="0067327A" w:rsidRPr="0067327A" w:rsidRDefault="0067327A" w:rsidP="000376B4">
      <w:pPr>
        <w:pStyle w:val="NamaPenulis"/>
        <w:spacing w:line="276" w:lineRule="auto"/>
        <w:jc w:val="both"/>
        <w:rPr>
          <w:rFonts w:asciiTheme="majorHAnsi" w:hAnsiTheme="majorHAnsi"/>
          <w:b/>
        </w:rPr>
      </w:pPr>
    </w:p>
    <w:p w:rsidR="009205AE" w:rsidRDefault="009205AE" w:rsidP="00347D13">
      <w:pPr>
        <w:pStyle w:val="NamaPenulis"/>
        <w:spacing w:line="276" w:lineRule="auto"/>
        <w:rPr>
          <w:rFonts w:asciiTheme="majorHAnsi" w:hAnsiTheme="majorHAnsi"/>
          <w:b/>
        </w:rPr>
      </w:pPr>
      <w:r w:rsidRPr="00E06497">
        <w:rPr>
          <w:rFonts w:asciiTheme="majorHAnsi" w:hAnsiTheme="majorHAnsi"/>
          <w:b/>
        </w:rPr>
        <w:t xml:space="preserve">HASIL DAN </w:t>
      </w:r>
      <w:r w:rsidR="00211497" w:rsidRPr="00E06497">
        <w:rPr>
          <w:rFonts w:asciiTheme="majorHAnsi" w:hAnsiTheme="majorHAnsi"/>
          <w:b/>
          <w:lang w:val="id-ID"/>
        </w:rPr>
        <w:t>PEMBAHASAN</w:t>
      </w:r>
    </w:p>
    <w:p w:rsidR="00347D13" w:rsidRPr="00E06497" w:rsidRDefault="00347D13" w:rsidP="0067327A">
      <w:pPr>
        <w:pStyle w:val="NamaPenulis"/>
        <w:spacing w:line="276" w:lineRule="auto"/>
        <w:jc w:val="both"/>
        <w:rPr>
          <w:rFonts w:asciiTheme="majorHAnsi" w:hAnsiTheme="majorHAnsi"/>
          <w:b/>
        </w:rPr>
      </w:pPr>
    </w:p>
    <w:p w:rsidR="0067327A" w:rsidRDefault="0067327A" w:rsidP="0067327A">
      <w:pPr>
        <w:pStyle w:val="NamaPenulis"/>
        <w:jc w:val="both"/>
        <w:rPr>
          <w:sz w:val="24"/>
          <w:szCs w:val="24"/>
        </w:rPr>
      </w:pPr>
      <w:r>
        <w:rPr>
          <w:sz w:val="24"/>
          <w:szCs w:val="24"/>
        </w:rPr>
        <w:t xml:space="preserve">A. </w:t>
      </w:r>
      <w:r w:rsidRPr="0067327A">
        <w:rPr>
          <w:sz w:val="24"/>
          <w:szCs w:val="24"/>
        </w:rPr>
        <w:t>Kekuatan Pembuktian Putusan Berdasarkan No. 29/Pdt.G/2019/PN Sgm Pada Pemeriksaan Perkara Perdata.</w:t>
      </w:r>
    </w:p>
    <w:p w:rsidR="0067327A" w:rsidRPr="0067327A" w:rsidRDefault="0067327A" w:rsidP="0067327A">
      <w:pPr>
        <w:pStyle w:val="NamaPenulis"/>
        <w:jc w:val="both"/>
        <w:rPr>
          <w:sz w:val="24"/>
          <w:szCs w:val="24"/>
        </w:rPr>
      </w:pPr>
    </w:p>
    <w:p w:rsidR="0067327A" w:rsidRDefault="0067327A" w:rsidP="0067327A">
      <w:pPr>
        <w:pStyle w:val="NamaPenulis"/>
        <w:jc w:val="both"/>
        <w:rPr>
          <w:sz w:val="24"/>
          <w:szCs w:val="24"/>
        </w:rPr>
      </w:pPr>
      <w:r w:rsidRPr="0067327A">
        <w:rPr>
          <w:sz w:val="24"/>
          <w:szCs w:val="24"/>
        </w:rPr>
        <w:t>Pemeriksaan perkara perdata, tahapan pembuktian menjadi suatu proses yang penting dalam persidangan, di mana pada tahap ini pihak yang berperkara baik dari pihak penggugat maupun pihak tergugat menyerahkan alat bukti yang dapat menguatkan dalilnya. Relevan tidaknya alat bukti yang diajukan di hadapan sidang diputuskan oleh hakim. Ketika para pihak tidak meminta, hakim karena jabatannya secara ex officio, akan berinisiatif untuk menetapkan dilaksanakannya pemeriksaan setempat ketika menemukan adanya suatu masalah pada objek sengketa. Hal itu dapat digali dari proses persidangan, demi tercapainya asas dalam beracara.</w:t>
      </w:r>
    </w:p>
    <w:p w:rsidR="0067327A" w:rsidRPr="0067327A" w:rsidRDefault="0067327A" w:rsidP="0067327A">
      <w:pPr>
        <w:pStyle w:val="NamaPenulis"/>
        <w:jc w:val="both"/>
        <w:rPr>
          <w:sz w:val="24"/>
          <w:szCs w:val="24"/>
        </w:rPr>
      </w:pPr>
      <w:r w:rsidRPr="0067327A">
        <w:rPr>
          <w:sz w:val="24"/>
          <w:szCs w:val="24"/>
        </w:rPr>
        <w:t xml:space="preserve"> </w:t>
      </w:r>
    </w:p>
    <w:p w:rsidR="0067327A" w:rsidRDefault="0067327A" w:rsidP="0067327A">
      <w:pPr>
        <w:pStyle w:val="NamaPenulis"/>
        <w:jc w:val="both"/>
        <w:rPr>
          <w:sz w:val="24"/>
          <w:szCs w:val="24"/>
        </w:rPr>
      </w:pPr>
      <w:r w:rsidRPr="0067327A">
        <w:rPr>
          <w:sz w:val="24"/>
          <w:szCs w:val="24"/>
        </w:rPr>
        <w:t xml:space="preserve">Seiring dengan perkembangan zaman, pernah dipersoalkan apakah di samping lima macam alat bukti yang disebutkan dalam Pasal 164 HIR, Pasal 284 RBg, dan Pasal 1866 KUH Perdata terdapat lagi alat-alat bukti lainnya atau tidak. Dalam penjelasan Pasal 164 ini, apa yang disebutkan sebagai alat-alat bukti dalam pasal tersebut sebenarnya kurang lengkap. Menurut HIR sesungguhnya masih ada beberapa macam alat bukti lain lagi, seperti misalnya hasil pemeriksaan hakim sendiri atau hasil penyelidikan setempat yang tersebut dalam Pasal 153 HIR, hasil pemeriksaan ahli yang disebutkan dalam Pasal 155 HIR dan begitu pula hal-hal yang diakui oleh umum, atau yang diakui kebenarannya oleh kedua belah pihak. </w:t>
      </w:r>
    </w:p>
    <w:p w:rsidR="0067327A" w:rsidRPr="0067327A" w:rsidRDefault="0067327A" w:rsidP="0067327A">
      <w:pPr>
        <w:pStyle w:val="NamaPenulis"/>
        <w:jc w:val="both"/>
        <w:rPr>
          <w:sz w:val="24"/>
          <w:szCs w:val="24"/>
        </w:rPr>
      </w:pPr>
    </w:p>
    <w:p w:rsidR="0067327A" w:rsidRDefault="0067327A" w:rsidP="0067327A">
      <w:pPr>
        <w:pStyle w:val="NamaPenulis"/>
        <w:jc w:val="both"/>
        <w:rPr>
          <w:sz w:val="24"/>
          <w:szCs w:val="24"/>
        </w:rPr>
      </w:pPr>
      <w:r w:rsidRPr="0067327A">
        <w:rPr>
          <w:sz w:val="24"/>
          <w:szCs w:val="24"/>
        </w:rPr>
        <w:t xml:space="preserve">Menurut Sudikno Mertokusumo, meskipun pemeriksaan setempat ini tidak dimuat di dalam Pasal 164 HIR, Pasal 285 RBg, dan Pasal 1866 KUH Perdata sebagai alat bukti, tetapi oleh karena tujuan pemeriksaan setempat ialah agar hakim </w:t>
      </w:r>
      <w:r w:rsidRPr="0067327A">
        <w:rPr>
          <w:sz w:val="24"/>
          <w:szCs w:val="24"/>
        </w:rPr>
        <w:lastRenderedPageBreak/>
        <w:t>memperoleh kepastian tentang peristiwa yang menjadi sengketa, maka fungsi pemeriksaan setempat pada hakeka</w:t>
      </w:r>
      <w:r>
        <w:rPr>
          <w:sz w:val="24"/>
          <w:szCs w:val="24"/>
        </w:rPr>
        <w:t>tnya adalah sebagai alat bukti.</w:t>
      </w:r>
      <w:r>
        <w:rPr>
          <w:rStyle w:val="FootnoteReference"/>
          <w:sz w:val="24"/>
          <w:szCs w:val="24"/>
        </w:rPr>
        <w:footnoteReference w:id="6"/>
      </w:r>
      <w:r w:rsidRPr="0067327A">
        <w:rPr>
          <w:sz w:val="24"/>
          <w:szCs w:val="24"/>
        </w:rPr>
        <w:t xml:space="preserve"> Terlepas dari persoalan apakah pemeriksaan setempat merupakan alat bukti atau tidak yang tidak ada kesepakatan para ahli, namun pemeriksaan setempat yang pelaksanaannya seringkali disaksikan oleh masyarakat ramai akan memberi kesan yang positif bahwa pengadilan benar-benar berusaha melakukan pemeriksaan perkara seteliti dan seobyektif mungkin untuk memberikan putusan yang adil dan benar menurut peraturan hukum yang berlaku.</w:t>
      </w:r>
    </w:p>
    <w:p w:rsidR="0067327A" w:rsidRPr="0067327A" w:rsidRDefault="0067327A" w:rsidP="0067327A">
      <w:pPr>
        <w:pStyle w:val="NamaPenulis"/>
        <w:jc w:val="both"/>
        <w:rPr>
          <w:sz w:val="24"/>
          <w:szCs w:val="24"/>
        </w:rPr>
      </w:pPr>
    </w:p>
    <w:p w:rsidR="0067327A" w:rsidRDefault="0067327A" w:rsidP="0067327A">
      <w:pPr>
        <w:pStyle w:val="NamaPenulis"/>
        <w:jc w:val="both"/>
        <w:rPr>
          <w:sz w:val="24"/>
          <w:szCs w:val="24"/>
        </w:rPr>
      </w:pPr>
      <w:r w:rsidRPr="0067327A">
        <w:rPr>
          <w:sz w:val="24"/>
          <w:szCs w:val="24"/>
        </w:rPr>
        <w:t>Pemeriksaan setempat merupakan pemeriksaan perkara yang dilakukan oleh hakim di luar gedung pengadilan, agar hakim dapat melihat secara langsung objek perkara dan memperoleh kepastian terkait objek perkara tersebut. Seluruh fakta atau informasi yang diperoleh hakim di lokasi, langsung menjadi pengetahuan tersendiri bagi hakim. Walaupun sidang pemeriksaan setempat dilakukan di luar gedung pengadilan, namun hak, asas-asas, dan tata tertib persidangan tidaklah berbeda dan tetap berlaku pada sidang pemeriksaan setempat layaknya sidang yang dilakukan di dalam gedung pengadilan. Secara formil pemeriksaan setempat bukanlah alat bukti sebagaimana yang diatur dalam Pasal 1866 KUH Perdata atau Pasal 164 HIR maupun Pasal 284 RBG. Akan tetapi pada ketentuan Pasal 180 RBG/153 HIR ayat (1) menegaskan bahwa kekuatan hukum dari pemeriksaan setempat terletak pada hasil dari pemeriksaan setempat. Hasil dari pemeriksaan setempat tersebut merupakan fakta yang ditemukan hakim di persidangan yang berupa ketera</w:t>
      </w:r>
      <w:r>
        <w:rPr>
          <w:sz w:val="24"/>
          <w:szCs w:val="24"/>
        </w:rPr>
        <w:t>ngan atau informasi bagi hakim.</w:t>
      </w:r>
      <w:r>
        <w:rPr>
          <w:rStyle w:val="FootnoteReference"/>
          <w:sz w:val="24"/>
          <w:szCs w:val="24"/>
        </w:rPr>
        <w:footnoteReference w:id="7"/>
      </w:r>
    </w:p>
    <w:p w:rsidR="0067327A" w:rsidRPr="0067327A" w:rsidRDefault="0067327A" w:rsidP="0067327A">
      <w:pPr>
        <w:pStyle w:val="NamaPenulis"/>
        <w:jc w:val="both"/>
        <w:rPr>
          <w:sz w:val="24"/>
          <w:szCs w:val="24"/>
        </w:rPr>
      </w:pPr>
    </w:p>
    <w:p w:rsidR="0067327A" w:rsidRPr="0067327A" w:rsidRDefault="0067327A" w:rsidP="0067327A">
      <w:pPr>
        <w:pStyle w:val="NamaPenulis"/>
        <w:jc w:val="both"/>
        <w:rPr>
          <w:sz w:val="24"/>
          <w:szCs w:val="24"/>
        </w:rPr>
      </w:pPr>
      <w:r w:rsidRPr="0067327A">
        <w:rPr>
          <w:sz w:val="24"/>
          <w:szCs w:val="24"/>
        </w:rPr>
        <w:t xml:space="preserve">Hasil pemeriksaan setempat dapat mempengaruhi putusan yang akan dijatuhkan oleh majelis hakim nantinya. Kekuatan pembuktian itu sendiri diserahkan kepada pertimbangan majelis hakim. Pada kenyataannya pemeriksaan setempat dalam sistem bukti perkara perdata sering dilakukan oleh hakim, terutama mengenai sengketa perdata yang objeknya tanah. Untuk mengetahui dengan jelas seluk-beluk suatu perkara kadang kala tidak selalu mudah, apalagi keterangan yang disampaikan pihak-pihak yang berperkara di persidangan sangat tajam bertentangan satu sama lain. Selain itu terhadap suatu keadaan kadang kala tidak bisa atau tidak begitu mudah dijelaskan secara lisan maupun tulisan, baamhkan dengan gambar atau sketsa sekalipun, sedangkan untuk membawa objek yang ingin dijelaskan tersebut ke depan sidang pengadilan tidak mungkin, misalnya barang-barang tidak bergerak seperti rumah, tanah, gadung, dan sebagainya. Adanya keadaan demikian, maka untuk mengetahui keadaan atau fakta dari suatu perkara tersebut dengan sebaik-baiknya, perlu dilakukan pemeriksaan setempat. Walaupun secara formil pemeriksaan setempat tidak termasuk alat bukti, namun demikian </w:t>
      </w:r>
      <w:r w:rsidRPr="0067327A">
        <w:rPr>
          <w:sz w:val="24"/>
          <w:szCs w:val="24"/>
        </w:rPr>
        <w:lastRenderedPageBreak/>
        <w:t xml:space="preserve">pemeriksaan setempat berfungsi untuk membuktikan kejelasan dan kepastian tentang lokasi, ukuran, </w:t>
      </w:r>
      <w:r>
        <w:rPr>
          <w:sz w:val="24"/>
          <w:szCs w:val="24"/>
        </w:rPr>
        <w:t>dan batas-batas objek sengketa.</w:t>
      </w:r>
      <w:r>
        <w:rPr>
          <w:rStyle w:val="FootnoteReference"/>
          <w:sz w:val="24"/>
          <w:szCs w:val="24"/>
        </w:rPr>
        <w:footnoteReference w:id="8"/>
      </w:r>
    </w:p>
    <w:p w:rsidR="00E01C62" w:rsidRDefault="00E01C62" w:rsidP="0067327A">
      <w:pPr>
        <w:pStyle w:val="NamaPenulis"/>
        <w:jc w:val="both"/>
        <w:rPr>
          <w:sz w:val="24"/>
          <w:szCs w:val="24"/>
        </w:rPr>
      </w:pPr>
    </w:p>
    <w:p w:rsidR="0067327A" w:rsidRPr="0067327A" w:rsidRDefault="0067327A" w:rsidP="0067327A">
      <w:pPr>
        <w:pStyle w:val="NamaPenulis"/>
        <w:jc w:val="both"/>
        <w:rPr>
          <w:sz w:val="24"/>
          <w:szCs w:val="24"/>
        </w:rPr>
      </w:pPr>
      <w:r w:rsidRPr="0067327A">
        <w:rPr>
          <w:sz w:val="24"/>
          <w:szCs w:val="24"/>
        </w:rPr>
        <w:t xml:space="preserve">Walaupun dalam sengketa-sengketa perdata baik itu dalam perkara waris, perjanjian, pembagian harta dan lain-lain, dalam hal bukti secara formil tidak mengakui adanya pemeriksaan setempat, tapi hakim dalam prakteknya membutuhkan adanya pemeriksaan setempat untuk memperjelas objek sengketa dan dijadikan pendukung alat bukti dalam persidangan. Tanpa adanya pemeriksan setempat, alat bukti seperti bukti surat yang merupakan alat bukti yang paling penting dalam bukti hukum acara perdata, kekuatannya akan berkurang jika pihak lawan mendalilkan sebaliknya. Begitu juga mengenai saksi, kalau bukti surat saja tidak mempunyai kekuatan yang sempurna maka nilai dan kualitas saksi hanya sampai pada bukti permulaan. Kekuatan bukti pemeriksaan setempat dalam sidang perkara perdata tidak sempurna dan tidak mutlak mengikat kepada hakim, karena pada dasarnya pemeriksaan setempat hanya sebagai bukti tambahan untuk melengkapi bukti atau mendukung alat bukti yang diajukan oleh para pihak. Sehingga kekuatan alat bukti yang diajukan oleh para pihak dapat mempengaruhi hakim dalam mengambil putusan. Hakim tidak wajib terikat untuk menerima atau menolak kebenaran dari hasil pemeriksaan setempat, dengan demikian hakim bebas sepenuhnya menerima atau menolak kebenarannya sesuai dengan prinsip-prinsip hukum bukti. </w:t>
      </w:r>
    </w:p>
    <w:p w:rsidR="00E01C62" w:rsidRDefault="00E01C62" w:rsidP="0067327A">
      <w:pPr>
        <w:pStyle w:val="NamaPenulis"/>
        <w:jc w:val="both"/>
        <w:rPr>
          <w:sz w:val="24"/>
          <w:szCs w:val="24"/>
        </w:rPr>
      </w:pPr>
    </w:p>
    <w:p w:rsidR="0067327A" w:rsidRPr="0067327A" w:rsidRDefault="0067327A" w:rsidP="0067327A">
      <w:pPr>
        <w:pStyle w:val="NamaPenulis"/>
        <w:jc w:val="both"/>
        <w:rPr>
          <w:sz w:val="24"/>
          <w:szCs w:val="24"/>
        </w:rPr>
      </w:pPr>
      <w:r w:rsidRPr="0067327A">
        <w:rPr>
          <w:sz w:val="24"/>
          <w:szCs w:val="24"/>
        </w:rPr>
        <w:t xml:space="preserve">Hakim dalam menyelesaikan perkara perdata yang objeknya berupa tanah membutuhkan adanya pemeriksaan setempat mengenai objek tersebut, agar dapat dilihat dengan jelas dan pasti keberadaan tanah yang dinyatakan sebagai objek sengketa, agar nantinya hasil putusan tersebut dapat dilaksanakan eksekusi dengan lancar dan tercapainya peradilan yang cepat, sederhana dan ringan. Apa yang disebutkan dalam Pasal 164 HIR sebenarnya kurang lengkap, sesungguhnya masih ada beberapa macam alat bukti lain lagi seperti misalnya hasil pemeriksaan hakim sendiri atau hasil penyelidikan setempat yang tersebut dalam Pasal 153 HIR, hasil pemeriksaan ahli yang disebutkan juga dalam Pasal 153 HIR dan begitu pula yang diakui oleh umum, atau diakui kebenarannya oleh kedua belah pihak. </w:t>
      </w:r>
      <w:r w:rsidRPr="0067327A">
        <w:rPr>
          <w:sz w:val="24"/>
          <w:szCs w:val="24"/>
        </w:rPr>
        <w:cr/>
      </w:r>
    </w:p>
    <w:p w:rsidR="0067327A" w:rsidRPr="0067327A" w:rsidRDefault="0067327A" w:rsidP="0067327A">
      <w:pPr>
        <w:pStyle w:val="NamaPenulis"/>
        <w:jc w:val="both"/>
        <w:rPr>
          <w:sz w:val="24"/>
          <w:szCs w:val="24"/>
        </w:rPr>
      </w:pPr>
      <w:r w:rsidRPr="0067327A">
        <w:rPr>
          <w:sz w:val="24"/>
          <w:szCs w:val="24"/>
        </w:rPr>
        <w:t xml:space="preserve">Tidak ada ketentuan dalam Pasal 164 HIR untuk menambahkan alat-alat bukti lainnya. Tidak dilarang seperti mengajukan bukti-bukti yang berupa tanda-tanda yang bukan tulisan. Pasal 1887 KUH Perdata menyebutkan: “tongkat-tongkat berkelar yang sesuai dengan kembarnya, harus dipercaya jika dipergunakan antara orang-orang yang biasa membuktikan penyerahan-penyerahan barang yang dilakukannya atau diterimanya dalam jumlah-jumlah kecil, dengan cara yang demikian itu.” </w:t>
      </w:r>
    </w:p>
    <w:p w:rsidR="00E01C62" w:rsidRDefault="00E01C62" w:rsidP="0067327A">
      <w:pPr>
        <w:pStyle w:val="NamaPenulis"/>
        <w:jc w:val="both"/>
        <w:rPr>
          <w:sz w:val="24"/>
          <w:szCs w:val="24"/>
        </w:rPr>
      </w:pPr>
    </w:p>
    <w:p w:rsidR="00E01C62" w:rsidRDefault="0067327A" w:rsidP="0067327A">
      <w:pPr>
        <w:pStyle w:val="NamaPenulis"/>
        <w:jc w:val="both"/>
        <w:rPr>
          <w:sz w:val="24"/>
          <w:szCs w:val="24"/>
        </w:rPr>
      </w:pPr>
      <w:r w:rsidRPr="0067327A">
        <w:rPr>
          <w:sz w:val="24"/>
          <w:szCs w:val="24"/>
        </w:rPr>
        <w:lastRenderedPageBreak/>
        <w:t>Sudikno Mertokusumo juga menjelaskan walaupun pemeriksaan setempat bukan merupakan bagian dari alat bukti menurut Pasal 164 HIR, Pasal 284 RBg dan Pasal 1866 KUHPerdata namun fungsi dari pemeriksaan setempat ini akan memberikan kepastian kepada hakim tentang peristiwa yang menjadi sengketa, maka fungsi dari pemeriksaan setempat pada hakekatnya adalah sebagai alat bukti. Yulianti Muhidin, SH. juga menegaskan peran dari pemeriksaan setempat dalam hal menyelesaikan masalah dimana dipergunakan hakim untuk memperoleh kepastian tentang peristiwa yang dikemukakan sebagai bahan-bahan resmi untuk pertimbangan putus</w:t>
      </w:r>
      <w:r w:rsidR="00E01C62">
        <w:rPr>
          <w:sz w:val="24"/>
          <w:szCs w:val="24"/>
        </w:rPr>
        <w:t>an.</w:t>
      </w:r>
      <w:r w:rsidR="00E01C62">
        <w:rPr>
          <w:rStyle w:val="FootnoteReference"/>
          <w:sz w:val="24"/>
          <w:szCs w:val="24"/>
        </w:rPr>
        <w:footnoteReference w:id="9"/>
      </w:r>
    </w:p>
    <w:p w:rsidR="00E01C62" w:rsidRPr="0067327A" w:rsidRDefault="00E01C62" w:rsidP="0067327A">
      <w:pPr>
        <w:pStyle w:val="NamaPenulis"/>
        <w:jc w:val="both"/>
        <w:rPr>
          <w:sz w:val="24"/>
          <w:szCs w:val="24"/>
        </w:rPr>
      </w:pPr>
    </w:p>
    <w:p w:rsidR="0067327A" w:rsidRDefault="0067327A" w:rsidP="0067327A">
      <w:pPr>
        <w:pStyle w:val="NamaPenulis"/>
        <w:jc w:val="both"/>
        <w:rPr>
          <w:sz w:val="24"/>
          <w:szCs w:val="24"/>
        </w:rPr>
      </w:pPr>
      <w:r w:rsidRPr="0067327A">
        <w:rPr>
          <w:sz w:val="24"/>
          <w:szCs w:val="24"/>
        </w:rPr>
        <w:t>Berdasarkan dari urian tersebut di atas, maka telah jelas bahwa pemeriksaan setempat mempunyai pengaruh yang penting yaitu sebagai bukti tambahan dalam mendukung alat bukti yang nantinya akan berpengaruh bagi hakim dalam mengambil putusan mengenai objek yang tidak bisa dihadirkan di persidangan contohnya tanah. Apabila suatu keterangan yang jelas dan definitif dijadikan sebagai dasar pertimbangan, berarti keterangan tersebut tidak lain merupakan bukti mengenai eksistensi dan keadaan barang yang bersan</w:t>
      </w:r>
      <w:r w:rsidR="00E01C62">
        <w:rPr>
          <w:sz w:val="24"/>
          <w:szCs w:val="24"/>
        </w:rPr>
        <w:t>gkutan.</w:t>
      </w:r>
      <w:r w:rsidR="00E01C62">
        <w:rPr>
          <w:rStyle w:val="FootnoteReference"/>
          <w:sz w:val="24"/>
          <w:szCs w:val="24"/>
        </w:rPr>
        <w:footnoteReference w:id="10"/>
      </w:r>
      <w:r w:rsidRPr="0067327A">
        <w:rPr>
          <w:sz w:val="24"/>
          <w:szCs w:val="24"/>
        </w:rPr>
        <w:t xml:space="preserve"> Karena keterangan tersebut diperoleh dari sidang pemeriksaan setempat, maka keterangan tersebut sama dengan fakta yang ditemukan di dalam persidangan. Setiap fakta yang ditemukan dalam persidangan, hakim terikat untuk menjadikannya sebagai dasar pertimbangan dalam mengambil putusan. Akan tetapi daya ikatnya tidak mutlak, jadi hakim bebas menentukan nilai kekuatan pembuktiannya, yang menyebabkan pemeriksaan setempat memiliki kekuatan bukti bebas.</w:t>
      </w:r>
    </w:p>
    <w:p w:rsidR="00E01C62" w:rsidRPr="0067327A" w:rsidRDefault="00E01C62" w:rsidP="0067327A">
      <w:pPr>
        <w:pStyle w:val="NamaPenulis"/>
        <w:jc w:val="both"/>
        <w:rPr>
          <w:sz w:val="24"/>
          <w:szCs w:val="24"/>
        </w:rPr>
      </w:pPr>
    </w:p>
    <w:p w:rsidR="00E01C62" w:rsidRDefault="0067327A" w:rsidP="0067327A">
      <w:pPr>
        <w:pStyle w:val="NamaPenulis"/>
        <w:jc w:val="both"/>
        <w:rPr>
          <w:sz w:val="24"/>
          <w:szCs w:val="24"/>
        </w:rPr>
      </w:pPr>
      <w:r w:rsidRPr="0067327A">
        <w:rPr>
          <w:sz w:val="24"/>
          <w:szCs w:val="24"/>
        </w:rPr>
        <w:t>Berdasarkan uraian pembahasan di atas, dapat disimpulkan bahwa pemeriksaan setempat tidak tercantum sebagai alat bukti dalam Pasal 164 HIR, Pasal 283 RBg, dan Pasal 1886 KUH Perdata. Akan tetapi hasil pemeriksaan setempat merupakan fakta yang ditemukan hakim di persidangan. Sesuai yang dikatakan oleh Hakim Yulianti Muhidin SH, Oleh karenanya mempunyai daya kekuatan mengikat bagi hakim. Setiap fakta yang ditemukan dalam persidangan membuat hakim terikat untuk menjadikannya sebagai dasar pertimbangan dalam mengambil putusan. Akan tetapi daya ikatnya tidak mutlak, jadi hakim bebas menentukan nilai kekuatan buktinya, yang menyebabkan pemeriksaan setempat memiliki kekuatan bukti bebas.  Daya mengikat pemeriksaan setempat seperti yang terlihat dalam beberapa yurisprudensi berikut:</w:t>
      </w:r>
    </w:p>
    <w:p w:rsidR="0067327A" w:rsidRPr="0067327A" w:rsidRDefault="0067327A" w:rsidP="0067327A">
      <w:pPr>
        <w:pStyle w:val="NamaPenulis"/>
        <w:jc w:val="both"/>
        <w:rPr>
          <w:sz w:val="24"/>
          <w:szCs w:val="24"/>
        </w:rPr>
      </w:pPr>
      <w:r w:rsidRPr="0067327A">
        <w:rPr>
          <w:sz w:val="24"/>
          <w:szCs w:val="24"/>
        </w:rPr>
        <w:t xml:space="preserve"> </w:t>
      </w:r>
    </w:p>
    <w:p w:rsidR="0067327A" w:rsidRPr="0067327A" w:rsidRDefault="0067327A" w:rsidP="0067327A">
      <w:pPr>
        <w:pStyle w:val="NamaPenulis"/>
        <w:jc w:val="both"/>
        <w:rPr>
          <w:sz w:val="24"/>
          <w:szCs w:val="24"/>
        </w:rPr>
      </w:pPr>
      <w:r w:rsidRPr="0067327A">
        <w:rPr>
          <w:sz w:val="24"/>
          <w:szCs w:val="24"/>
        </w:rPr>
        <w:t xml:space="preserve">1. Dapat menetapkan luas tanah objek sengketa. Hakim dapat menetapkan luas tanah objek sengketa. Sedangkan mengenai batas- batas tidak begitu relevan, sebab menurut pengalaman sering terjadi perubahan tanah akibat dari peralihan hak milik atas tanah. (Putusan Mahkamah Agung No. 1497 K/Sip/ 1983) </w:t>
      </w:r>
    </w:p>
    <w:p w:rsidR="0067327A" w:rsidRPr="0067327A" w:rsidRDefault="0067327A" w:rsidP="0067327A">
      <w:pPr>
        <w:pStyle w:val="NamaPenulis"/>
        <w:jc w:val="both"/>
        <w:rPr>
          <w:sz w:val="24"/>
          <w:szCs w:val="24"/>
        </w:rPr>
      </w:pPr>
      <w:r w:rsidRPr="0067327A">
        <w:rPr>
          <w:sz w:val="24"/>
          <w:szCs w:val="24"/>
        </w:rPr>
        <w:lastRenderedPageBreak/>
        <w:t xml:space="preserve">2. Dapat digunakan untuk memperjelas objek sengketa. Hasil pemeriksaan setempat dapat dijadikan dasar untuk memperjelas letak, luas dan batas-batas objek sengketa (Putusan Mahkamah Agung Nomor 1777 K/Sip/1983) </w:t>
      </w:r>
    </w:p>
    <w:p w:rsidR="00E01C62" w:rsidRDefault="00E01C62" w:rsidP="0067327A">
      <w:pPr>
        <w:pStyle w:val="NamaPenulis"/>
        <w:jc w:val="both"/>
        <w:rPr>
          <w:sz w:val="24"/>
          <w:szCs w:val="24"/>
        </w:rPr>
      </w:pPr>
    </w:p>
    <w:p w:rsidR="0067327A" w:rsidRPr="0067327A" w:rsidRDefault="0067327A" w:rsidP="0067327A">
      <w:pPr>
        <w:pStyle w:val="NamaPenulis"/>
        <w:jc w:val="both"/>
        <w:rPr>
          <w:sz w:val="24"/>
          <w:szCs w:val="24"/>
        </w:rPr>
      </w:pPr>
      <w:r w:rsidRPr="0067327A">
        <w:rPr>
          <w:sz w:val="24"/>
          <w:szCs w:val="24"/>
        </w:rPr>
        <w:t xml:space="preserve">3. Dapat dijadikan dasar mengabulkan gugatan. Dalam hal dalil gugatan dibantah oleh pihak tergugat, tetapi ternyata berdasarkan pemeriksaan setempat luas tanah objek sengketa sama dengan yang tersebut dalam gugatan, maka dapat dijadikan dasar dikabulkan gugatan (Putusan Mahka mah Agung Nomor 3197 K/Sip/1983) </w:t>
      </w:r>
    </w:p>
    <w:p w:rsidR="00E01C62" w:rsidRDefault="00E01C62" w:rsidP="0067327A">
      <w:pPr>
        <w:pStyle w:val="NamaPenulis"/>
        <w:jc w:val="both"/>
        <w:rPr>
          <w:sz w:val="24"/>
          <w:szCs w:val="24"/>
        </w:rPr>
      </w:pPr>
    </w:p>
    <w:p w:rsidR="00E01C62" w:rsidRDefault="0067327A" w:rsidP="0067327A">
      <w:pPr>
        <w:pStyle w:val="NamaPenulis"/>
        <w:jc w:val="both"/>
        <w:rPr>
          <w:sz w:val="24"/>
          <w:szCs w:val="24"/>
        </w:rPr>
      </w:pPr>
      <w:r w:rsidRPr="0067327A">
        <w:rPr>
          <w:sz w:val="24"/>
          <w:szCs w:val="24"/>
        </w:rPr>
        <w:t>4. Dapat dijadikan dasar menyatakan gugatan tidak dapat diterima. Karena setelah diadakan pemeriksaan setempat oleh Pengadilan Negeri atas perintah Mahkamah Agung, tanah yang dikuasai Tergugat ternyata tidak sama batas-batas dan luasnya dengan yang tercantum dalam gugatan, gugatan harus dinyatakan tidak dapat diterima (Putusan Mahkamah Agung Nomor 81.K/Sip/1971)</w:t>
      </w:r>
    </w:p>
    <w:p w:rsidR="0067327A" w:rsidRPr="0067327A" w:rsidRDefault="0067327A" w:rsidP="0067327A">
      <w:pPr>
        <w:pStyle w:val="NamaPenulis"/>
        <w:jc w:val="both"/>
        <w:rPr>
          <w:sz w:val="24"/>
          <w:szCs w:val="24"/>
        </w:rPr>
      </w:pPr>
      <w:r w:rsidRPr="0067327A">
        <w:rPr>
          <w:sz w:val="24"/>
          <w:szCs w:val="24"/>
        </w:rPr>
        <w:t xml:space="preserve"> </w:t>
      </w:r>
    </w:p>
    <w:p w:rsidR="0067327A" w:rsidRDefault="0067327A" w:rsidP="0067327A">
      <w:pPr>
        <w:pStyle w:val="NamaPenulis"/>
        <w:jc w:val="both"/>
        <w:rPr>
          <w:sz w:val="24"/>
          <w:szCs w:val="24"/>
        </w:rPr>
      </w:pPr>
      <w:r w:rsidRPr="0067327A">
        <w:rPr>
          <w:sz w:val="24"/>
          <w:szCs w:val="24"/>
        </w:rPr>
        <w:t>Berdasarkan hasil penelitian pada perkara Nomor 29/Pdt.G/2019/PN Sgm hasil Pengadilan Negeri Sungguminasa yang mengadili perkara perdata, telah menjatuhkan putusan sebagai berikut dalam perkara gugatan antara</w:t>
      </w:r>
    </w:p>
    <w:p w:rsidR="00E01C62" w:rsidRPr="0067327A" w:rsidRDefault="00E01C62" w:rsidP="0067327A">
      <w:pPr>
        <w:pStyle w:val="NamaPenulis"/>
        <w:jc w:val="both"/>
        <w:rPr>
          <w:sz w:val="24"/>
          <w:szCs w:val="24"/>
        </w:rPr>
      </w:pPr>
    </w:p>
    <w:p w:rsidR="0067327A" w:rsidRPr="0067327A" w:rsidRDefault="00E01C62" w:rsidP="0067327A">
      <w:pPr>
        <w:pStyle w:val="NamaPenulis"/>
        <w:jc w:val="both"/>
        <w:rPr>
          <w:sz w:val="24"/>
          <w:szCs w:val="24"/>
        </w:rPr>
      </w:pPr>
      <w:r>
        <w:rPr>
          <w:sz w:val="24"/>
          <w:szCs w:val="24"/>
        </w:rPr>
        <w:t>Herlina Dg Singara</w:t>
      </w:r>
      <w:r w:rsidR="0067327A" w:rsidRPr="0067327A">
        <w:rPr>
          <w:sz w:val="24"/>
          <w:szCs w:val="24"/>
        </w:rPr>
        <w:t>:  Berkedudukan di</w:t>
      </w:r>
      <w:r>
        <w:rPr>
          <w:sz w:val="24"/>
          <w:szCs w:val="24"/>
        </w:rPr>
        <w:t xml:space="preserve"> Jalan Syekh Yusuf No. 81, Rt / </w:t>
      </w:r>
      <w:r w:rsidR="0067327A" w:rsidRPr="0067327A">
        <w:rPr>
          <w:sz w:val="24"/>
          <w:szCs w:val="24"/>
        </w:rPr>
        <w:t>RW. 001 / 007</w:t>
      </w:r>
      <w:r>
        <w:rPr>
          <w:sz w:val="24"/>
          <w:szCs w:val="24"/>
        </w:rPr>
        <w:t xml:space="preserve">, Kelurahan Katangka, Kecamatan </w:t>
      </w:r>
      <w:r w:rsidR="0067327A" w:rsidRPr="0067327A">
        <w:rPr>
          <w:sz w:val="24"/>
          <w:szCs w:val="24"/>
        </w:rPr>
        <w:t>Somba Op</w:t>
      </w:r>
      <w:r>
        <w:rPr>
          <w:sz w:val="24"/>
          <w:szCs w:val="24"/>
        </w:rPr>
        <w:t xml:space="preserve">u, Kabupaten Gowa dalam hal ini </w:t>
      </w:r>
      <w:r w:rsidR="0067327A" w:rsidRPr="0067327A">
        <w:rPr>
          <w:sz w:val="24"/>
          <w:szCs w:val="24"/>
        </w:rPr>
        <w:t>memberikan kuasa kep</w:t>
      </w:r>
      <w:r>
        <w:rPr>
          <w:sz w:val="24"/>
          <w:szCs w:val="24"/>
        </w:rPr>
        <w:t xml:space="preserve">ada Efendi, S.H., Hannani </w:t>
      </w:r>
      <w:r w:rsidR="0067327A" w:rsidRPr="0067327A">
        <w:rPr>
          <w:sz w:val="24"/>
          <w:szCs w:val="24"/>
        </w:rPr>
        <w:t>Parani, S.H., dan Rus</w:t>
      </w:r>
      <w:r>
        <w:rPr>
          <w:sz w:val="24"/>
          <w:szCs w:val="24"/>
        </w:rPr>
        <w:t xml:space="preserve">li Bohari, S.H. keduanya adalah </w:t>
      </w:r>
      <w:r w:rsidR="0067327A" w:rsidRPr="0067327A">
        <w:rPr>
          <w:sz w:val="24"/>
          <w:szCs w:val="24"/>
        </w:rPr>
        <w:t>Advokad yang ber</w:t>
      </w:r>
      <w:r>
        <w:rPr>
          <w:sz w:val="24"/>
          <w:szCs w:val="24"/>
        </w:rPr>
        <w:t xml:space="preserve">alamat di Jl. Onta Lama No. 84, Kelurahan </w:t>
      </w:r>
      <w:r w:rsidR="0067327A" w:rsidRPr="0067327A">
        <w:rPr>
          <w:sz w:val="24"/>
          <w:szCs w:val="24"/>
        </w:rPr>
        <w:t>Ma</w:t>
      </w:r>
      <w:r>
        <w:rPr>
          <w:sz w:val="24"/>
          <w:szCs w:val="24"/>
        </w:rPr>
        <w:t xml:space="preserve">ndala, Kecamatan Mamajang, Kota </w:t>
      </w:r>
      <w:r w:rsidR="0067327A" w:rsidRPr="0067327A">
        <w:rPr>
          <w:sz w:val="24"/>
          <w:szCs w:val="24"/>
        </w:rPr>
        <w:t>M</w:t>
      </w:r>
      <w:r>
        <w:rPr>
          <w:sz w:val="24"/>
          <w:szCs w:val="24"/>
        </w:rPr>
        <w:t xml:space="preserve">akassar, Prop. Sulawesi Selatan </w:t>
      </w:r>
      <w:r w:rsidR="0067327A" w:rsidRPr="0067327A">
        <w:rPr>
          <w:sz w:val="24"/>
          <w:szCs w:val="24"/>
        </w:rPr>
        <w:t>berdasarkan surat kuasa khusus tanggal 12 Mar</w:t>
      </w:r>
      <w:r>
        <w:rPr>
          <w:sz w:val="24"/>
          <w:szCs w:val="24"/>
        </w:rPr>
        <w:t xml:space="preserve">et 2019, yang telah didaftarkan </w:t>
      </w:r>
      <w:r w:rsidR="0067327A" w:rsidRPr="0067327A">
        <w:rPr>
          <w:sz w:val="24"/>
          <w:szCs w:val="24"/>
        </w:rPr>
        <w:t>pada kepaniteraan Pengadilan Negeri Sunggu</w:t>
      </w:r>
      <w:r>
        <w:rPr>
          <w:sz w:val="24"/>
          <w:szCs w:val="24"/>
        </w:rPr>
        <w:t xml:space="preserve">minasa dengan nomor registerasi </w:t>
      </w:r>
      <w:r w:rsidR="0067327A" w:rsidRPr="0067327A">
        <w:rPr>
          <w:sz w:val="24"/>
          <w:szCs w:val="24"/>
        </w:rPr>
        <w:t>67/KP/Pdt/PN.</w:t>
      </w:r>
      <w:r>
        <w:rPr>
          <w:sz w:val="24"/>
          <w:szCs w:val="24"/>
        </w:rPr>
        <w:t>S/2019, tertanggal 4 April 2019.</w:t>
      </w:r>
      <w:r w:rsidR="0067327A" w:rsidRPr="0067327A">
        <w:rPr>
          <w:sz w:val="24"/>
          <w:szCs w:val="24"/>
        </w:rPr>
        <w:t xml:space="preserve"> sebagai Penggugat</w:t>
      </w:r>
      <w:r>
        <w:rPr>
          <w:sz w:val="24"/>
          <w:szCs w:val="24"/>
        </w:rPr>
        <w:t>.</w:t>
      </w:r>
    </w:p>
    <w:p w:rsidR="00E01C62" w:rsidRDefault="00E01C62" w:rsidP="0067327A">
      <w:pPr>
        <w:pStyle w:val="NamaPenulis"/>
        <w:jc w:val="both"/>
        <w:rPr>
          <w:sz w:val="24"/>
          <w:szCs w:val="24"/>
        </w:rPr>
      </w:pPr>
    </w:p>
    <w:p w:rsidR="0067327A" w:rsidRPr="0067327A" w:rsidRDefault="0067327A" w:rsidP="0067327A">
      <w:pPr>
        <w:pStyle w:val="NamaPenulis"/>
        <w:jc w:val="both"/>
        <w:rPr>
          <w:sz w:val="24"/>
          <w:szCs w:val="24"/>
        </w:rPr>
      </w:pPr>
      <w:r w:rsidRPr="0067327A">
        <w:rPr>
          <w:sz w:val="24"/>
          <w:szCs w:val="24"/>
        </w:rPr>
        <w:t>Lawan:</w:t>
      </w:r>
    </w:p>
    <w:p w:rsidR="0067327A" w:rsidRPr="0067327A" w:rsidRDefault="0067327A" w:rsidP="0067327A">
      <w:pPr>
        <w:pStyle w:val="NamaPenulis"/>
        <w:jc w:val="both"/>
        <w:rPr>
          <w:sz w:val="24"/>
          <w:szCs w:val="24"/>
        </w:rPr>
      </w:pPr>
      <w:r w:rsidRPr="0067327A">
        <w:rPr>
          <w:sz w:val="24"/>
          <w:szCs w:val="24"/>
        </w:rPr>
        <w:t>1. Abd. Hafid Dg. Tutu, bertempat ting</w:t>
      </w:r>
      <w:r w:rsidR="00E01C62">
        <w:rPr>
          <w:sz w:val="24"/>
          <w:szCs w:val="24"/>
        </w:rPr>
        <w:t xml:space="preserve">gal di Jl. Pallantikang 3, Kel. </w:t>
      </w:r>
      <w:r w:rsidRPr="0067327A">
        <w:rPr>
          <w:sz w:val="24"/>
          <w:szCs w:val="24"/>
        </w:rPr>
        <w:t>Katangka</w:t>
      </w:r>
      <w:r w:rsidR="00E01C62">
        <w:rPr>
          <w:sz w:val="24"/>
          <w:szCs w:val="24"/>
        </w:rPr>
        <w:t>, Kec. Somba Opu. Kab. Gowa. S</w:t>
      </w:r>
      <w:r w:rsidRPr="0067327A">
        <w:rPr>
          <w:sz w:val="24"/>
          <w:szCs w:val="24"/>
        </w:rPr>
        <w:t>ebagai Tergugat I;</w:t>
      </w:r>
    </w:p>
    <w:p w:rsidR="00E01C62" w:rsidRDefault="00E01C62" w:rsidP="0067327A">
      <w:pPr>
        <w:pStyle w:val="NamaPenulis"/>
        <w:jc w:val="both"/>
        <w:rPr>
          <w:sz w:val="24"/>
          <w:szCs w:val="24"/>
        </w:rPr>
      </w:pPr>
    </w:p>
    <w:p w:rsidR="0067327A" w:rsidRDefault="0067327A" w:rsidP="0067327A">
      <w:pPr>
        <w:pStyle w:val="NamaPenulis"/>
        <w:jc w:val="both"/>
        <w:rPr>
          <w:sz w:val="24"/>
          <w:szCs w:val="24"/>
        </w:rPr>
      </w:pPr>
      <w:r w:rsidRPr="0067327A">
        <w:rPr>
          <w:sz w:val="24"/>
          <w:szCs w:val="24"/>
        </w:rPr>
        <w:t>2. Alla Dg. Lummu, bertempat tinggal di Jln. Pal</w:t>
      </w:r>
      <w:r w:rsidR="00E01C62">
        <w:rPr>
          <w:sz w:val="24"/>
          <w:szCs w:val="24"/>
        </w:rPr>
        <w:t xml:space="preserve">lantikang (obyek Perkara), Kel. </w:t>
      </w:r>
      <w:r w:rsidRPr="0067327A">
        <w:rPr>
          <w:sz w:val="24"/>
          <w:szCs w:val="24"/>
        </w:rPr>
        <w:t>Katangk</w:t>
      </w:r>
      <w:r w:rsidR="00E01C62">
        <w:rPr>
          <w:sz w:val="24"/>
          <w:szCs w:val="24"/>
        </w:rPr>
        <w:t>a, Kec. Sumba Opu, Kab. Gowa. S</w:t>
      </w:r>
      <w:r w:rsidRPr="0067327A">
        <w:rPr>
          <w:sz w:val="24"/>
          <w:szCs w:val="24"/>
        </w:rPr>
        <w:t>ebagai Tergugat II;</w:t>
      </w:r>
    </w:p>
    <w:p w:rsidR="00E01C62" w:rsidRPr="0067327A" w:rsidRDefault="00E01C62" w:rsidP="0067327A">
      <w:pPr>
        <w:pStyle w:val="NamaPenulis"/>
        <w:jc w:val="both"/>
        <w:rPr>
          <w:sz w:val="24"/>
          <w:szCs w:val="24"/>
        </w:rPr>
      </w:pPr>
    </w:p>
    <w:p w:rsidR="0067327A" w:rsidRPr="0067327A" w:rsidRDefault="00E01C62" w:rsidP="0067327A">
      <w:pPr>
        <w:pStyle w:val="NamaPenulis"/>
        <w:jc w:val="both"/>
        <w:rPr>
          <w:sz w:val="24"/>
          <w:szCs w:val="24"/>
        </w:rPr>
      </w:pPr>
      <w:r>
        <w:rPr>
          <w:sz w:val="24"/>
          <w:szCs w:val="24"/>
        </w:rPr>
        <w:t xml:space="preserve">Pengadilan Negeri tersebut; </w:t>
      </w:r>
      <w:r w:rsidR="0067327A" w:rsidRPr="0067327A">
        <w:rPr>
          <w:sz w:val="24"/>
          <w:szCs w:val="24"/>
        </w:rPr>
        <w:t>Setelah membaca berkas perkara beserta</w:t>
      </w:r>
      <w:r>
        <w:rPr>
          <w:sz w:val="24"/>
          <w:szCs w:val="24"/>
        </w:rPr>
        <w:t xml:space="preserve"> surat-surat yang bersangkutan; </w:t>
      </w:r>
      <w:r w:rsidR="0067327A" w:rsidRPr="0067327A">
        <w:rPr>
          <w:sz w:val="24"/>
          <w:szCs w:val="24"/>
        </w:rPr>
        <w:t>Setelah mendengar kedua belah pihak yang berperkara;</w:t>
      </w:r>
    </w:p>
    <w:p w:rsidR="0067327A" w:rsidRPr="0067327A" w:rsidRDefault="0067327A" w:rsidP="0067327A">
      <w:pPr>
        <w:pStyle w:val="NamaPenulis"/>
        <w:jc w:val="both"/>
        <w:rPr>
          <w:sz w:val="24"/>
          <w:szCs w:val="24"/>
        </w:rPr>
      </w:pPr>
    </w:p>
    <w:p w:rsidR="0067327A" w:rsidRPr="0067327A" w:rsidRDefault="0067327A" w:rsidP="0067327A">
      <w:pPr>
        <w:pStyle w:val="NamaPenulis"/>
        <w:jc w:val="both"/>
        <w:rPr>
          <w:sz w:val="24"/>
          <w:szCs w:val="24"/>
        </w:rPr>
      </w:pPr>
      <w:r w:rsidRPr="0067327A">
        <w:rPr>
          <w:sz w:val="24"/>
          <w:szCs w:val="24"/>
        </w:rPr>
        <w:t>TENTANG DUDUK PERKARA</w:t>
      </w:r>
    </w:p>
    <w:p w:rsidR="0067327A" w:rsidRPr="0067327A" w:rsidRDefault="0067327A" w:rsidP="0067327A">
      <w:pPr>
        <w:pStyle w:val="NamaPenulis"/>
        <w:jc w:val="both"/>
        <w:rPr>
          <w:sz w:val="24"/>
          <w:szCs w:val="24"/>
        </w:rPr>
      </w:pPr>
      <w:r w:rsidRPr="0067327A">
        <w:rPr>
          <w:sz w:val="24"/>
          <w:szCs w:val="24"/>
        </w:rPr>
        <w:t>Menimbang, bahwa Penggugat dengan surat gugatan tanggal 4 April 2019 yang diterima dan didaftarkan di Kepaniteraan Pengadilan Negeri Sungguminasa pada tanggal 4 April 2019 dalam Register Nomor 29/Pdt.G/2019/PN Sgm, telah mengajukan gugatan sebagai berikut:</w:t>
      </w:r>
    </w:p>
    <w:p w:rsidR="0067327A" w:rsidRPr="0067327A" w:rsidRDefault="00E01C62" w:rsidP="0067327A">
      <w:pPr>
        <w:pStyle w:val="NamaPenulis"/>
        <w:jc w:val="both"/>
        <w:rPr>
          <w:sz w:val="24"/>
          <w:szCs w:val="24"/>
        </w:rPr>
      </w:pPr>
      <w:r>
        <w:rPr>
          <w:sz w:val="24"/>
          <w:szCs w:val="24"/>
        </w:rPr>
        <w:lastRenderedPageBreak/>
        <w:t xml:space="preserve">1. </w:t>
      </w:r>
      <w:r w:rsidR="0067327A" w:rsidRPr="0067327A">
        <w:rPr>
          <w:sz w:val="24"/>
          <w:szCs w:val="24"/>
        </w:rPr>
        <w:t>Bahwa Penggugat adalah pemilik sah atas sebidang tanah Seluas + 408 M2 (empat ratus delapan meter persegi), Persil No. 39a. DII, - Kohir 95 C1, Yang terletak di Jln. Pallantikang, Kelurahan Katangka, Kecamatan Sumba Opu, Kab. Gowa. Berdasarkan Akta Jual Beli No. 86 / KSO / KLG / I / 05 ; Dengan batas-batas sebagai berikut :</w:t>
      </w:r>
    </w:p>
    <w:p w:rsidR="0067327A" w:rsidRPr="0067327A" w:rsidRDefault="0067327A" w:rsidP="0067327A">
      <w:pPr>
        <w:pStyle w:val="NamaPenulis"/>
        <w:jc w:val="both"/>
        <w:rPr>
          <w:sz w:val="24"/>
          <w:szCs w:val="24"/>
        </w:rPr>
      </w:pPr>
      <w:r w:rsidRPr="0067327A">
        <w:rPr>
          <w:sz w:val="24"/>
          <w:szCs w:val="24"/>
        </w:rPr>
        <w:t xml:space="preserve"> - Utara : Jalanan ;</w:t>
      </w:r>
    </w:p>
    <w:p w:rsidR="0067327A" w:rsidRPr="0067327A" w:rsidRDefault="0067327A" w:rsidP="0067327A">
      <w:pPr>
        <w:pStyle w:val="NamaPenulis"/>
        <w:jc w:val="both"/>
        <w:rPr>
          <w:sz w:val="24"/>
          <w:szCs w:val="24"/>
        </w:rPr>
      </w:pPr>
      <w:r w:rsidRPr="0067327A">
        <w:rPr>
          <w:sz w:val="24"/>
          <w:szCs w:val="24"/>
        </w:rPr>
        <w:t xml:space="preserve"> - Timur : Tanah / rumah milik ASIZ / EDO / Syam Jalle ; </w:t>
      </w:r>
    </w:p>
    <w:p w:rsidR="0067327A" w:rsidRDefault="0067327A" w:rsidP="0067327A">
      <w:pPr>
        <w:pStyle w:val="NamaPenulis"/>
        <w:jc w:val="both"/>
        <w:rPr>
          <w:sz w:val="24"/>
          <w:szCs w:val="24"/>
        </w:rPr>
      </w:pPr>
      <w:r w:rsidRPr="0067327A">
        <w:rPr>
          <w:sz w:val="24"/>
          <w:szCs w:val="24"/>
        </w:rPr>
        <w:t xml:space="preserve"> - Selatan : Tanah / rumah milik Suladri (Buang) / Bohari Sija (bapak tergugat I)</w:t>
      </w:r>
    </w:p>
    <w:p w:rsidR="00E01C62" w:rsidRPr="0067327A" w:rsidRDefault="00E01C62" w:rsidP="0067327A">
      <w:pPr>
        <w:pStyle w:val="NamaPenulis"/>
        <w:jc w:val="both"/>
        <w:rPr>
          <w:sz w:val="24"/>
          <w:szCs w:val="24"/>
        </w:rPr>
      </w:pPr>
    </w:p>
    <w:p w:rsidR="0067327A" w:rsidRDefault="0067327A" w:rsidP="0067327A">
      <w:pPr>
        <w:pStyle w:val="NamaPenulis"/>
        <w:jc w:val="both"/>
        <w:rPr>
          <w:sz w:val="24"/>
          <w:szCs w:val="24"/>
        </w:rPr>
      </w:pPr>
      <w:r w:rsidRPr="0067327A">
        <w:rPr>
          <w:sz w:val="24"/>
          <w:szCs w:val="24"/>
        </w:rPr>
        <w:t>2. Barat : Tanah / rumah milik Lamsu ; Bahwa obyek kepemilikan Penggugat berdasarkan Akta Jual Beli No. 86 / KSO / KLG / I / 05 Yang dibuat di oleh Pejabat yang berwenang dalam hal ini CAMAT selaku PPAT, dan tidak ada kebe</w:t>
      </w:r>
      <w:r w:rsidR="00E01C62">
        <w:rPr>
          <w:sz w:val="24"/>
          <w:szCs w:val="24"/>
        </w:rPr>
        <w:t>ratan dari pihak siapapun juga.</w:t>
      </w:r>
    </w:p>
    <w:p w:rsidR="00E01C62" w:rsidRPr="0067327A" w:rsidRDefault="00E01C62" w:rsidP="0067327A">
      <w:pPr>
        <w:pStyle w:val="NamaPenulis"/>
        <w:jc w:val="both"/>
        <w:rPr>
          <w:sz w:val="24"/>
          <w:szCs w:val="24"/>
        </w:rPr>
      </w:pPr>
    </w:p>
    <w:p w:rsidR="0067327A" w:rsidRDefault="00E01C62" w:rsidP="0067327A">
      <w:pPr>
        <w:pStyle w:val="NamaPenulis"/>
        <w:jc w:val="both"/>
        <w:rPr>
          <w:sz w:val="24"/>
          <w:szCs w:val="24"/>
        </w:rPr>
      </w:pPr>
      <w:r>
        <w:rPr>
          <w:sz w:val="24"/>
          <w:szCs w:val="24"/>
        </w:rPr>
        <w:t xml:space="preserve">3. </w:t>
      </w:r>
      <w:r w:rsidR="0067327A" w:rsidRPr="0067327A">
        <w:rPr>
          <w:sz w:val="24"/>
          <w:szCs w:val="24"/>
        </w:rPr>
        <w:t>Bahwa entah dasar dan alasan apa yang mendasari para tergugat menguasai dan mengakui bahwa tanah / obyek perkara tersebut adalah miliknya, bentuk penguasaan tergugat I yakni dengan memasang papan bicara diatas obyek perkara in casu, dan tergugat II mendirikan rumah kayu dan tinggal meneta</w:t>
      </w:r>
      <w:r>
        <w:rPr>
          <w:sz w:val="24"/>
          <w:szCs w:val="24"/>
        </w:rPr>
        <w:t>p diatas obyek perkara in casu.</w:t>
      </w:r>
    </w:p>
    <w:p w:rsidR="00E01C62" w:rsidRPr="0067327A" w:rsidRDefault="00E01C62" w:rsidP="0067327A">
      <w:pPr>
        <w:pStyle w:val="NamaPenulis"/>
        <w:jc w:val="both"/>
        <w:rPr>
          <w:sz w:val="24"/>
          <w:szCs w:val="24"/>
        </w:rPr>
      </w:pPr>
    </w:p>
    <w:p w:rsidR="0067327A" w:rsidRDefault="00E01C62" w:rsidP="0067327A">
      <w:pPr>
        <w:pStyle w:val="NamaPenulis"/>
        <w:jc w:val="both"/>
        <w:rPr>
          <w:sz w:val="24"/>
          <w:szCs w:val="24"/>
        </w:rPr>
      </w:pPr>
      <w:r>
        <w:rPr>
          <w:sz w:val="24"/>
          <w:szCs w:val="24"/>
        </w:rPr>
        <w:t xml:space="preserve">4. </w:t>
      </w:r>
      <w:r w:rsidR="0067327A" w:rsidRPr="0067327A">
        <w:rPr>
          <w:sz w:val="24"/>
          <w:szCs w:val="24"/>
        </w:rPr>
        <w:t xml:space="preserve">Bahwa tergugat I memasang papan bicara diatas obyek perkara in casu tenpa sepengetahuan penggugat selaku pemilik yang sah, begitupula tergugat II mendirikan rumah kayu dan tinggal </w:t>
      </w:r>
      <w:r>
        <w:rPr>
          <w:sz w:val="24"/>
          <w:szCs w:val="24"/>
        </w:rPr>
        <w:t>di atas obyek perkara in casu.</w:t>
      </w:r>
    </w:p>
    <w:p w:rsidR="00E01C62" w:rsidRPr="0067327A" w:rsidRDefault="00E01C62" w:rsidP="0067327A">
      <w:pPr>
        <w:pStyle w:val="NamaPenulis"/>
        <w:jc w:val="both"/>
        <w:rPr>
          <w:sz w:val="24"/>
          <w:szCs w:val="24"/>
        </w:rPr>
      </w:pPr>
    </w:p>
    <w:p w:rsidR="0067327A" w:rsidRDefault="00E01C62" w:rsidP="0067327A">
      <w:pPr>
        <w:pStyle w:val="NamaPenulis"/>
        <w:jc w:val="both"/>
        <w:rPr>
          <w:sz w:val="24"/>
          <w:szCs w:val="24"/>
        </w:rPr>
      </w:pPr>
      <w:r>
        <w:rPr>
          <w:sz w:val="24"/>
          <w:szCs w:val="24"/>
        </w:rPr>
        <w:t xml:space="preserve">5. </w:t>
      </w:r>
      <w:r w:rsidR="0067327A" w:rsidRPr="0067327A">
        <w:rPr>
          <w:sz w:val="24"/>
          <w:szCs w:val="24"/>
        </w:rPr>
        <w:t xml:space="preserve">Bahwa setelah penggugat mengetahui tanah miliknya telah di kuasai oleh para tergugat, maka penggugat menemuinya dan meminta agar para tergugat sesegera mungkin mengosongkan kembali lokasi tanah miliknya, namun para </w:t>
      </w:r>
      <w:r>
        <w:rPr>
          <w:sz w:val="24"/>
          <w:szCs w:val="24"/>
        </w:rPr>
        <w:t>tergugat tidak mengindahkannya.</w:t>
      </w:r>
    </w:p>
    <w:p w:rsidR="00E01C62" w:rsidRPr="0067327A" w:rsidRDefault="00E01C62" w:rsidP="0067327A">
      <w:pPr>
        <w:pStyle w:val="NamaPenulis"/>
        <w:jc w:val="both"/>
        <w:rPr>
          <w:sz w:val="24"/>
          <w:szCs w:val="24"/>
        </w:rPr>
      </w:pPr>
    </w:p>
    <w:p w:rsidR="0067327A" w:rsidRDefault="00E01C62" w:rsidP="0067327A">
      <w:pPr>
        <w:pStyle w:val="NamaPenulis"/>
        <w:jc w:val="both"/>
        <w:rPr>
          <w:sz w:val="24"/>
          <w:szCs w:val="24"/>
        </w:rPr>
      </w:pPr>
      <w:r>
        <w:rPr>
          <w:sz w:val="24"/>
          <w:szCs w:val="24"/>
        </w:rPr>
        <w:t xml:space="preserve">6. </w:t>
      </w:r>
      <w:r w:rsidR="0067327A" w:rsidRPr="0067327A">
        <w:rPr>
          <w:sz w:val="24"/>
          <w:szCs w:val="24"/>
        </w:rPr>
        <w:t>Bahwa setelah permintaan penggugat tidak diindahkan oleh para tergugat maka penggugat melaporkan hal ini kepada kepala kecamatan Sumba Opu selaku aparat pemerintah setempat, dan berdasarkan laporan penggugat tersebut maka di tempuhlah upaya mediasi namun hasil dari mediasi tersebut tidak membuahkan hasil dan lokasi tanah / obyek perkara masih tetap dikuasai oleh</w:t>
      </w:r>
      <w:r>
        <w:rPr>
          <w:sz w:val="24"/>
          <w:szCs w:val="24"/>
        </w:rPr>
        <w:t xml:space="preserve"> para tergugat hingga saat ini.</w:t>
      </w:r>
    </w:p>
    <w:p w:rsidR="00E01C62" w:rsidRPr="0067327A" w:rsidRDefault="00E01C62" w:rsidP="0067327A">
      <w:pPr>
        <w:pStyle w:val="NamaPenulis"/>
        <w:jc w:val="both"/>
        <w:rPr>
          <w:sz w:val="24"/>
          <w:szCs w:val="24"/>
        </w:rPr>
      </w:pPr>
    </w:p>
    <w:p w:rsidR="0067327A" w:rsidRPr="0067327A" w:rsidRDefault="00E01C62" w:rsidP="0067327A">
      <w:pPr>
        <w:pStyle w:val="NamaPenulis"/>
        <w:jc w:val="both"/>
        <w:rPr>
          <w:sz w:val="24"/>
          <w:szCs w:val="24"/>
        </w:rPr>
      </w:pPr>
      <w:r>
        <w:rPr>
          <w:sz w:val="24"/>
          <w:szCs w:val="24"/>
        </w:rPr>
        <w:t xml:space="preserve">7. </w:t>
      </w:r>
      <w:r w:rsidR="0067327A" w:rsidRPr="0067327A">
        <w:rPr>
          <w:sz w:val="24"/>
          <w:szCs w:val="24"/>
        </w:rPr>
        <w:t xml:space="preserve">Bahwa Penggugat sudah menempuh semua upaya mediasi secara kekeluargaan, baik secara langsung maupun lewat perantaraan Camat Somba Opu agar kiranya para tergugat mengosong lokasi yang ditempatinya masing-masing dan menyerahkannya kepada penggugat selaku pemilik yang sah, namun para tergugat tidak mengindahkannya bahkan diduga telah terkontaminasi dengan itikad buruk untuk menguasai dan atau memilikinya, maka tindakan tersebut adalah nyata-nyata perbuatan </w:t>
      </w:r>
      <w:r>
        <w:rPr>
          <w:sz w:val="24"/>
          <w:szCs w:val="24"/>
        </w:rPr>
        <w:t>melawan hukum dan Melawan hak.</w:t>
      </w:r>
    </w:p>
    <w:p w:rsidR="0067327A" w:rsidRPr="0067327A" w:rsidRDefault="0067327A" w:rsidP="0067327A">
      <w:pPr>
        <w:pStyle w:val="NamaPenulis"/>
        <w:jc w:val="both"/>
        <w:rPr>
          <w:sz w:val="24"/>
          <w:szCs w:val="24"/>
        </w:rPr>
      </w:pPr>
      <w:r w:rsidRPr="0067327A">
        <w:rPr>
          <w:sz w:val="24"/>
          <w:szCs w:val="24"/>
        </w:rPr>
        <w:lastRenderedPageBreak/>
        <w:t>8.</w:t>
      </w:r>
      <w:r w:rsidRPr="0067327A">
        <w:rPr>
          <w:sz w:val="24"/>
          <w:szCs w:val="24"/>
        </w:rPr>
        <w:tab/>
        <w:t>Bahwa hampir seluruh warga disekitar obyek sengketa mengetahui jika penggugat adalah pemilik sah atas tanah (obyek sengketa) tersebut dan para tergugat adalah sama sekali tidak memiliki alas hak terhadap apa yang ditempatinya. Namun saat ini telah melakukan upaya-upaya dengan itikad buruk mengakui obyek sengketa sebagai miliknya padahal yang sesungguhnya para tergugat hanya menempati lokasi tanah dengan melawan hak / melawan hukum, oleh karenanya penggugat mengajukan tuntutan hukum melalui jalur P</w:t>
      </w:r>
      <w:r w:rsidR="00E01C62">
        <w:rPr>
          <w:sz w:val="24"/>
          <w:szCs w:val="24"/>
        </w:rPr>
        <w:t>erdata pada Pengadilan Negeri.</w:t>
      </w:r>
    </w:p>
    <w:p w:rsidR="00E01C62" w:rsidRDefault="00E01C62" w:rsidP="0067327A">
      <w:pPr>
        <w:pStyle w:val="NamaPenulis"/>
        <w:jc w:val="both"/>
        <w:rPr>
          <w:sz w:val="24"/>
          <w:szCs w:val="24"/>
        </w:rPr>
      </w:pPr>
    </w:p>
    <w:p w:rsidR="0067327A" w:rsidRPr="0067327A" w:rsidRDefault="00E01C62" w:rsidP="0067327A">
      <w:pPr>
        <w:pStyle w:val="NamaPenulis"/>
        <w:jc w:val="both"/>
        <w:rPr>
          <w:sz w:val="24"/>
          <w:szCs w:val="24"/>
        </w:rPr>
      </w:pPr>
      <w:r>
        <w:rPr>
          <w:sz w:val="24"/>
          <w:szCs w:val="24"/>
        </w:rPr>
        <w:t xml:space="preserve">9. </w:t>
      </w:r>
      <w:r w:rsidR="0067327A" w:rsidRPr="0067327A">
        <w:rPr>
          <w:sz w:val="24"/>
          <w:szCs w:val="24"/>
        </w:rPr>
        <w:t>Bahwa obyek perkara in casu hingga saat perkara ini didaftarkan di Pengadilan Negeri Sungguminasa / Gowa tidak pernah dialihkan atau dipindah tangankan dan/atau dijual kepada pihak lain terlebih lagi kepada para tergugat, sehingga tindakan para tergugat dengan sengaja mempertahankan obyek sengketa tersebut dan seolah-olah mengakui obyek sengketa sebagai haknya adalah perbuatan me</w:t>
      </w:r>
      <w:r>
        <w:rPr>
          <w:sz w:val="24"/>
          <w:szCs w:val="24"/>
        </w:rPr>
        <w:t>lawan hukum dan melanggar hak.</w:t>
      </w:r>
    </w:p>
    <w:p w:rsidR="00E01C62" w:rsidRDefault="00E01C62" w:rsidP="0067327A">
      <w:pPr>
        <w:pStyle w:val="NamaPenulis"/>
        <w:jc w:val="both"/>
        <w:rPr>
          <w:sz w:val="24"/>
          <w:szCs w:val="24"/>
        </w:rPr>
      </w:pPr>
    </w:p>
    <w:p w:rsidR="0067327A" w:rsidRPr="0067327A" w:rsidRDefault="00E01C62" w:rsidP="0067327A">
      <w:pPr>
        <w:pStyle w:val="NamaPenulis"/>
        <w:jc w:val="both"/>
        <w:rPr>
          <w:sz w:val="24"/>
          <w:szCs w:val="24"/>
        </w:rPr>
      </w:pPr>
      <w:r>
        <w:rPr>
          <w:sz w:val="24"/>
          <w:szCs w:val="24"/>
        </w:rPr>
        <w:t xml:space="preserve">10. </w:t>
      </w:r>
      <w:r w:rsidR="0067327A" w:rsidRPr="0067327A">
        <w:rPr>
          <w:sz w:val="24"/>
          <w:szCs w:val="24"/>
        </w:rPr>
        <w:t>Bahwa perbuatan para tergugat Yang mempertahankan obyek sengketa dan ingin menguasainya tanpa hak adalah jelas-jelas merupakan perbuatan melawan hukum yang melanggar hak penggugat, sehingga wajar bilamana para Tergugat dan/atau pihak siapapun juga yang mendapatkan hak dari padanya, diperintahkan agar segera mengosongkan tanah obyek sengketa tersebut tanpa beban apapun juga kalau perlu dengan bantuan aparat keamanan, dan sekaligus mengembalikan obyek s</w:t>
      </w:r>
      <w:r>
        <w:rPr>
          <w:sz w:val="24"/>
          <w:szCs w:val="24"/>
        </w:rPr>
        <w:t>engketa kepada Para Penggugat.</w:t>
      </w:r>
    </w:p>
    <w:p w:rsidR="00E01C62" w:rsidRDefault="00E01C62" w:rsidP="0067327A">
      <w:pPr>
        <w:pStyle w:val="NamaPenulis"/>
        <w:jc w:val="both"/>
        <w:rPr>
          <w:sz w:val="24"/>
          <w:szCs w:val="24"/>
        </w:rPr>
      </w:pPr>
    </w:p>
    <w:p w:rsidR="0067327A" w:rsidRPr="0067327A" w:rsidRDefault="00E01C62" w:rsidP="0067327A">
      <w:pPr>
        <w:pStyle w:val="NamaPenulis"/>
        <w:jc w:val="both"/>
        <w:rPr>
          <w:sz w:val="24"/>
          <w:szCs w:val="24"/>
        </w:rPr>
      </w:pPr>
      <w:r>
        <w:rPr>
          <w:sz w:val="24"/>
          <w:szCs w:val="24"/>
        </w:rPr>
        <w:t xml:space="preserve">11. </w:t>
      </w:r>
      <w:r w:rsidR="0067327A" w:rsidRPr="0067327A">
        <w:rPr>
          <w:sz w:val="24"/>
          <w:szCs w:val="24"/>
        </w:rPr>
        <w:t>Bahwa oleh karena para tergugat. Menguasai obyek sengketa tanpa hak dan melawan hukum diatas lokasi tanah milik penggugat bahkan mengakui obyek tersebut sebagai miliknya, maka sangat wajar jika para tergugat dibebankan membayar uang sewa sebesar Rp.50.000.000,-/tahun (lima puluh juta rupiah pertahun) yang patut dibebankan secara tanggun</w:t>
      </w:r>
      <w:r>
        <w:rPr>
          <w:sz w:val="24"/>
          <w:szCs w:val="24"/>
        </w:rPr>
        <w:t>g renteng kepada Para Tergugat.</w:t>
      </w:r>
    </w:p>
    <w:p w:rsidR="00E01C62" w:rsidRDefault="00E01C62" w:rsidP="0067327A">
      <w:pPr>
        <w:pStyle w:val="NamaPenulis"/>
        <w:jc w:val="both"/>
        <w:rPr>
          <w:sz w:val="24"/>
          <w:szCs w:val="24"/>
        </w:rPr>
      </w:pPr>
    </w:p>
    <w:p w:rsidR="0067327A" w:rsidRPr="0067327A" w:rsidRDefault="00E01C62" w:rsidP="0067327A">
      <w:pPr>
        <w:pStyle w:val="NamaPenulis"/>
        <w:jc w:val="both"/>
        <w:rPr>
          <w:sz w:val="24"/>
          <w:szCs w:val="24"/>
        </w:rPr>
      </w:pPr>
      <w:r>
        <w:rPr>
          <w:sz w:val="24"/>
          <w:szCs w:val="24"/>
        </w:rPr>
        <w:t xml:space="preserve">12. </w:t>
      </w:r>
      <w:r w:rsidR="0067327A" w:rsidRPr="0067327A">
        <w:rPr>
          <w:sz w:val="24"/>
          <w:szCs w:val="24"/>
        </w:rPr>
        <w:t>Bahwa demi untuk menjaga adanya kepastian hukum terhadap obyek sengketa, hal ini terlihat adanya dugaan yang kuat bahwa obyek sengketa akan diproses ataupun dikaburkan kepemilikannya, terlebih lagi adanya rencana pengikatan terhadap pihak lain, maka untuk melindungi kepentingan hukum penggugat dapat dilaksanakannya sacara penuh putusan pengadilan berkenaan dengan gugatan penggugat, sehingga wajarlah jika terhadap obyek sengketa tersebut diletakkan sita</w:t>
      </w:r>
      <w:r>
        <w:rPr>
          <w:sz w:val="24"/>
          <w:szCs w:val="24"/>
        </w:rPr>
        <w:t xml:space="preserve"> jaminan (Conservatoir beslag).</w:t>
      </w:r>
    </w:p>
    <w:p w:rsidR="00E01C62" w:rsidRDefault="00E01C62" w:rsidP="0067327A">
      <w:pPr>
        <w:pStyle w:val="NamaPenulis"/>
        <w:jc w:val="both"/>
        <w:rPr>
          <w:sz w:val="24"/>
          <w:szCs w:val="24"/>
        </w:rPr>
      </w:pPr>
    </w:p>
    <w:p w:rsidR="0067327A" w:rsidRPr="0067327A" w:rsidRDefault="00E01C62" w:rsidP="0067327A">
      <w:pPr>
        <w:pStyle w:val="NamaPenulis"/>
        <w:jc w:val="both"/>
        <w:rPr>
          <w:sz w:val="24"/>
          <w:szCs w:val="24"/>
        </w:rPr>
      </w:pPr>
      <w:r>
        <w:rPr>
          <w:sz w:val="24"/>
          <w:szCs w:val="24"/>
        </w:rPr>
        <w:t xml:space="preserve">13. </w:t>
      </w:r>
      <w:r w:rsidR="0067327A" w:rsidRPr="0067327A">
        <w:rPr>
          <w:sz w:val="24"/>
          <w:szCs w:val="24"/>
        </w:rPr>
        <w:t xml:space="preserve">Bahwa penggugat sebagai pemilik yang sah atas tanah / obyek sengketa didasarkan pada bukti pemilikan yang sah. Sehingga cukup alasan menurut hukum untuk menyatakan putusan dalam perkara ini dapat segera dijalankan lebih dahulu (serta merta) meskipun adanya verzet, banding atau kasasi ; Bahwa berdasarkan hal-hal serta alasan-alasan tersebut diatas, dengan ini Penggugat mohon kepada </w:t>
      </w:r>
      <w:r w:rsidR="0067327A" w:rsidRPr="0067327A">
        <w:rPr>
          <w:sz w:val="24"/>
          <w:szCs w:val="24"/>
        </w:rPr>
        <w:lastRenderedPageBreak/>
        <w:t>Bapak Ketua/Majelis Hakim yang mengadili perkara ini untuk selanjutnya menetapkan dan memutuskan sebagai berikut:</w:t>
      </w:r>
    </w:p>
    <w:p w:rsidR="0067327A" w:rsidRPr="0067327A" w:rsidRDefault="0067327A" w:rsidP="0067327A">
      <w:pPr>
        <w:pStyle w:val="NamaPenulis"/>
        <w:jc w:val="both"/>
        <w:rPr>
          <w:sz w:val="24"/>
          <w:szCs w:val="24"/>
        </w:rPr>
      </w:pPr>
      <w:r w:rsidRPr="0067327A">
        <w:rPr>
          <w:sz w:val="24"/>
          <w:szCs w:val="24"/>
        </w:rPr>
        <w:t>1. Mengabulkan gugatan penggugat untuk seluruhnya karen</w:t>
      </w:r>
      <w:r w:rsidR="00E01C62">
        <w:rPr>
          <w:sz w:val="24"/>
          <w:szCs w:val="24"/>
        </w:rPr>
        <w:t>a benar dan bersesuaian hukum.</w:t>
      </w:r>
    </w:p>
    <w:p w:rsidR="0067327A" w:rsidRPr="0067327A" w:rsidRDefault="0067327A" w:rsidP="0067327A">
      <w:pPr>
        <w:pStyle w:val="NamaPenulis"/>
        <w:jc w:val="both"/>
        <w:rPr>
          <w:sz w:val="24"/>
          <w:szCs w:val="24"/>
        </w:rPr>
      </w:pPr>
      <w:r w:rsidRPr="0067327A">
        <w:rPr>
          <w:sz w:val="24"/>
          <w:szCs w:val="24"/>
        </w:rPr>
        <w:t>2. Menyatakan sah dan berharga sita jaminan (Conservatoir beslag) terhadap ob</w:t>
      </w:r>
      <w:r w:rsidR="00E01C62">
        <w:rPr>
          <w:sz w:val="24"/>
          <w:szCs w:val="24"/>
        </w:rPr>
        <w:t>yek sengketa.</w:t>
      </w:r>
    </w:p>
    <w:p w:rsidR="0067327A" w:rsidRPr="0067327A" w:rsidRDefault="0067327A" w:rsidP="0067327A">
      <w:pPr>
        <w:pStyle w:val="NamaPenulis"/>
        <w:jc w:val="both"/>
        <w:rPr>
          <w:sz w:val="24"/>
          <w:szCs w:val="24"/>
        </w:rPr>
      </w:pPr>
      <w:r w:rsidRPr="0067327A">
        <w:rPr>
          <w:sz w:val="24"/>
          <w:szCs w:val="24"/>
        </w:rPr>
        <w:t xml:space="preserve">3. Menyatakan menurut hukum penggugat sebagai pemilik sah atas tanah obyek sengketa dengan seluas + 408 M2 (kurang lebih empat ratus delapan meter persegi), yang terletak di Jln. Pallantikang, Kel. Katangka, Kec. Sumba Opu, Kab. Gowa. didasarkan atas Akta Jual Beli dengan batas-batasnya sebagai berikut : </w:t>
      </w:r>
    </w:p>
    <w:p w:rsidR="0067327A" w:rsidRPr="0067327A" w:rsidRDefault="0067327A" w:rsidP="0067327A">
      <w:pPr>
        <w:pStyle w:val="NamaPenulis"/>
        <w:jc w:val="both"/>
        <w:rPr>
          <w:sz w:val="24"/>
          <w:szCs w:val="24"/>
        </w:rPr>
      </w:pPr>
      <w:r w:rsidRPr="0067327A">
        <w:rPr>
          <w:sz w:val="24"/>
          <w:szCs w:val="24"/>
        </w:rPr>
        <w:t>- Utara : Jalanan ;</w:t>
      </w:r>
    </w:p>
    <w:p w:rsidR="0067327A" w:rsidRPr="0067327A" w:rsidRDefault="0067327A" w:rsidP="0067327A">
      <w:pPr>
        <w:pStyle w:val="NamaPenulis"/>
        <w:jc w:val="both"/>
        <w:rPr>
          <w:sz w:val="24"/>
          <w:szCs w:val="24"/>
        </w:rPr>
      </w:pPr>
      <w:r w:rsidRPr="0067327A">
        <w:rPr>
          <w:sz w:val="24"/>
          <w:szCs w:val="24"/>
        </w:rPr>
        <w:t xml:space="preserve">- Timur : Tanah / rumah milik Asiz / Edo / Syam Jalle </w:t>
      </w:r>
    </w:p>
    <w:p w:rsidR="0067327A" w:rsidRPr="0067327A" w:rsidRDefault="0067327A" w:rsidP="0067327A">
      <w:pPr>
        <w:pStyle w:val="NamaPenulis"/>
        <w:jc w:val="both"/>
        <w:rPr>
          <w:sz w:val="24"/>
          <w:szCs w:val="24"/>
        </w:rPr>
      </w:pPr>
      <w:r w:rsidRPr="0067327A">
        <w:rPr>
          <w:sz w:val="24"/>
          <w:szCs w:val="24"/>
        </w:rPr>
        <w:t>- Selatan : Tanah / rumah Sudadri (Buang) / dulu milik Bohari Sija;</w:t>
      </w:r>
    </w:p>
    <w:p w:rsidR="0067327A" w:rsidRPr="0067327A" w:rsidRDefault="0067327A" w:rsidP="0067327A">
      <w:pPr>
        <w:pStyle w:val="NamaPenulis"/>
        <w:jc w:val="both"/>
        <w:rPr>
          <w:sz w:val="24"/>
          <w:szCs w:val="24"/>
        </w:rPr>
      </w:pPr>
      <w:r w:rsidRPr="0067327A">
        <w:rPr>
          <w:sz w:val="24"/>
          <w:szCs w:val="24"/>
        </w:rPr>
        <w:t xml:space="preserve"> </w:t>
      </w:r>
      <w:r w:rsidRPr="0067327A">
        <w:rPr>
          <w:sz w:val="24"/>
          <w:szCs w:val="24"/>
        </w:rPr>
        <w:tab/>
        <w:t xml:space="preserve">- Barat : Lamsu ; Adalah sah dan mengikat ; </w:t>
      </w:r>
    </w:p>
    <w:p w:rsidR="0067327A" w:rsidRPr="0067327A" w:rsidRDefault="0067327A" w:rsidP="0067327A">
      <w:pPr>
        <w:pStyle w:val="NamaPenulis"/>
        <w:jc w:val="both"/>
        <w:rPr>
          <w:sz w:val="24"/>
          <w:szCs w:val="24"/>
        </w:rPr>
      </w:pPr>
      <w:r w:rsidRPr="0067327A">
        <w:rPr>
          <w:sz w:val="24"/>
          <w:szCs w:val="24"/>
        </w:rPr>
        <w:t>4. Menyatakan tindakan para tergugat yang menempati / menguasai lokasi tanah / obyek sengketa milik penggugat dan kemudian mengakui sebagai haknya adalah perbuatan m</w:t>
      </w:r>
      <w:r w:rsidR="00E01C62">
        <w:rPr>
          <w:sz w:val="24"/>
          <w:szCs w:val="24"/>
        </w:rPr>
        <w:t>elawan hukum dan melanggar hak.</w:t>
      </w:r>
    </w:p>
    <w:p w:rsidR="0067327A" w:rsidRPr="0067327A" w:rsidRDefault="0067327A" w:rsidP="0067327A">
      <w:pPr>
        <w:pStyle w:val="NamaPenulis"/>
        <w:jc w:val="both"/>
        <w:rPr>
          <w:sz w:val="24"/>
          <w:szCs w:val="24"/>
        </w:rPr>
      </w:pPr>
      <w:r w:rsidRPr="0067327A">
        <w:rPr>
          <w:sz w:val="24"/>
          <w:szCs w:val="24"/>
        </w:rPr>
        <w:t xml:space="preserve">5. Memerintahkan kepada para tergugat untuk mengosongkan obyek sengketa secara sempurna dan tanpa dibebani hak apapun diatasnya ; </w:t>
      </w:r>
    </w:p>
    <w:p w:rsidR="0067327A" w:rsidRDefault="0067327A" w:rsidP="0067327A">
      <w:pPr>
        <w:pStyle w:val="NamaPenulis"/>
        <w:jc w:val="both"/>
        <w:rPr>
          <w:sz w:val="24"/>
          <w:szCs w:val="24"/>
        </w:rPr>
      </w:pPr>
      <w:r w:rsidRPr="0067327A">
        <w:rPr>
          <w:sz w:val="24"/>
          <w:szCs w:val="24"/>
        </w:rPr>
        <w:t>6. Menyatakan segala tindakan para tergugat dalam rangka pengurusan hak diatas tanah obyek sengketa adalah perbuatan melawan hukum dan melawan hak, sehingga segala bentuk surat yang akan terbit maupun yang sudah diterbitkan oleh para tergugat diatas obyek sengketa adalah cacad hukum dan tidak mengikat.</w:t>
      </w:r>
    </w:p>
    <w:p w:rsidR="00E01C62" w:rsidRDefault="00E01C62" w:rsidP="00E01C62">
      <w:pPr>
        <w:pStyle w:val="NamaPenulis"/>
        <w:jc w:val="both"/>
        <w:rPr>
          <w:sz w:val="24"/>
          <w:szCs w:val="24"/>
        </w:rPr>
      </w:pPr>
      <w:r w:rsidRPr="0067327A">
        <w:rPr>
          <w:sz w:val="24"/>
          <w:szCs w:val="24"/>
        </w:rPr>
        <w:t>7. Menghukum para tergugat, termasuk orang-orang yang memperoleh hak diatas obyek sengketa, untuk membayar uang paksa (dwangsom) masing-masing sebesar Rp.1.000.000.-/hari (satu juta rupiah perhari) jika lalai melaksanaka</w:t>
      </w:r>
      <w:r>
        <w:rPr>
          <w:sz w:val="24"/>
          <w:szCs w:val="24"/>
        </w:rPr>
        <w:t>n putusan Pengadilan tersebut.</w:t>
      </w:r>
    </w:p>
    <w:p w:rsidR="00E01C62" w:rsidRDefault="00E01C62" w:rsidP="00E01C62">
      <w:pPr>
        <w:pStyle w:val="NamaPenulis"/>
        <w:jc w:val="both"/>
        <w:rPr>
          <w:sz w:val="24"/>
          <w:szCs w:val="24"/>
        </w:rPr>
      </w:pPr>
      <w:r w:rsidRPr="0067327A">
        <w:rPr>
          <w:sz w:val="24"/>
          <w:szCs w:val="24"/>
        </w:rPr>
        <w:t>8. Menghukum para tergugat membayar biaya perkar</w:t>
      </w:r>
      <w:r>
        <w:rPr>
          <w:sz w:val="24"/>
          <w:szCs w:val="24"/>
        </w:rPr>
        <w:t>a yang timbul dalam perkara ini.</w:t>
      </w:r>
    </w:p>
    <w:p w:rsidR="00E01C62" w:rsidRPr="0067327A" w:rsidRDefault="00E01C62" w:rsidP="00E01C62">
      <w:pPr>
        <w:pStyle w:val="NamaPenulis"/>
        <w:jc w:val="both"/>
        <w:rPr>
          <w:sz w:val="24"/>
          <w:szCs w:val="24"/>
        </w:rPr>
      </w:pPr>
      <w:r w:rsidRPr="0067327A">
        <w:rPr>
          <w:sz w:val="24"/>
          <w:szCs w:val="24"/>
        </w:rPr>
        <w:t>10.</w:t>
      </w:r>
      <w:r>
        <w:rPr>
          <w:sz w:val="24"/>
          <w:szCs w:val="24"/>
        </w:rPr>
        <w:t xml:space="preserve"> </w:t>
      </w:r>
      <w:r w:rsidRPr="0067327A">
        <w:rPr>
          <w:sz w:val="24"/>
          <w:szCs w:val="24"/>
        </w:rPr>
        <w:t>Menyatakan putusan perkara ini dapat segera dilaksanakan (serta merta ) meskipun adanya verzet, banding atau kasasi ; Sekiranya Pengadilan Cq.</w:t>
      </w:r>
    </w:p>
    <w:p w:rsidR="00E01C62" w:rsidRDefault="00E01C62" w:rsidP="0067327A">
      <w:pPr>
        <w:pStyle w:val="NamaPenulis"/>
        <w:jc w:val="both"/>
        <w:rPr>
          <w:sz w:val="24"/>
          <w:szCs w:val="24"/>
        </w:rPr>
      </w:pPr>
    </w:p>
    <w:p w:rsidR="0067327A" w:rsidRDefault="0067327A" w:rsidP="0067327A">
      <w:pPr>
        <w:pStyle w:val="NamaPenulis"/>
        <w:jc w:val="both"/>
        <w:rPr>
          <w:sz w:val="24"/>
          <w:szCs w:val="24"/>
        </w:rPr>
      </w:pPr>
      <w:r w:rsidRPr="0067327A">
        <w:rPr>
          <w:sz w:val="24"/>
          <w:szCs w:val="24"/>
        </w:rPr>
        <w:t>Menurut Hakim Yulianti Muhidin SH menyatakan tindakan para tergugat, mempertahankan obyek sengketa yang ditempatinya atas bidang tanah obyek sengketa tersebut diatas berikut orang-orang dan yang akan mendapat hak dari padanya merupakan perbuatan melawan hak dan melawan hukum, sehingga sangat wajar bilamana para tergugat dan/atau pihak lain yang akan memperoleh hak dari padanya diperintahkan agar segera mengosongkan obyek sengketa tersebut tanpa beban apapun diatasnya, kalau perlu d</w:t>
      </w:r>
      <w:r w:rsidR="00E01C62">
        <w:rPr>
          <w:sz w:val="24"/>
          <w:szCs w:val="24"/>
        </w:rPr>
        <w:t>engan bantuan aparat keamanan.</w:t>
      </w:r>
      <w:r w:rsidR="00E01C62">
        <w:rPr>
          <w:rStyle w:val="FootnoteReference"/>
          <w:sz w:val="24"/>
          <w:szCs w:val="24"/>
        </w:rPr>
        <w:footnoteReference w:id="11"/>
      </w:r>
    </w:p>
    <w:p w:rsidR="00E01C62" w:rsidRPr="0067327A" w:rsidRDefault="00E01C62" w:rsidP="0067327A">
      <w:pPr>
        <w:pStyle w:val="NamaPenulis"/>
        <w:jc w:val="both"/>
        <w:rPr>
          <w:sz w:val="24"/>
          <w:szCs w:val="24"/>
        </w:rPr>
      </w:pPr>
    </w:p>
    <w:p w:rsidR="0067327A" w:rsidRPr="0067327A" w:rsidRDefault="0067327A" w:rsidP="0067327A">
      <w:pPr>
        <w:pStyle w:val="NamaPenulis"/>
        <w:jc w:val="both"/>
        <w:rPr>
          <w:sz w:val="24"/>
          <w:szCs w:val="24"/>
        </w:rPr>
      </w:pPr>
      <w:r w:rsidRPr="0067327A">
        <w:rPr>
          <w:sz w:val="24"/>
          <w:szCs w:val="24"/>
        </w:rPr>
        <w:t xml:space="preserve"> </w:t>
      </w:r>
    </w:p>
    <w:p w:rsidR="0067327A" w:rsidRDefault="0067327A" w:rsidP="0067327A">
      <w:pPr>
        <w:pStyle w:val="NamaPenulis"/>
        <w:jc w:val="both"/>
        <w:rPr>
          <w:sz w:val="24"/>
          <w:szCs w:val="24"/>
        </w:rPr>
      </w:pPr>
      <w:r w:rsidRPr="0067327A">
        <w:rPr>
          <w:sz w:val="24"/>
          <w:szCs w:val="24"/>
        </w:rPr>
        <w:lastRenderedPageBreak/>
        <w:t>Majelis Hakim yang mengadili perkara ini berpendapat lain, maka mohon putusan yang seadil-adilnya berdasarkan hukum (Ex aequo et bono); Menimbang, bahwa pada hari persidangan yang telah ditentukan, pihak penggugat hadir kuasanya tersebut dan tergugat I hadir menghadap sendiri kecuali Tergugat II yang telah memberikan kuasa kepada tergugat I untuk hadir dalam persidangan berdasarkan kuasa Subtitusi Nomor 89/KP/PDT/2019/PN Sgm, yang didaftarkan pada Kepaniteraan Pengadilan Negeri Sunggum</w:t>
      </w:r>
      <w:r w:rsidR="00E01C62">
        <w:rPr>
          <w:sz w:val="24"/>
          <w:szCs w:val="24"/>
        </w:rPr>
        <w:t>inasa pada tanggal 14 Mei 2019;</w:t>
      </w:r>
    </w:p>
    <w:p w:rsidR="00E01C62" w:rsidRPr="0067327A" w:rsidRDefault="00E01C62" w:rsidP="0067327A">
      <w:pPr>
        <w:pStyle w:val="NamaPenulis"/>
        <w:jc w:val="both"/>
        <w:rPr>
          <w:sz w:val="24"/>
          <w:szCs w:val="24"/>
        </w:rPr>
      </w:pPr>
    </w:p>
    <w:p w:rsidR="0067327A" w:rsidRDefault="0067327A" w:rsidP="0067327A">
      <w:pPr>
        <w:pStyle w:val="NamaPenulis"/>
        <w:jc w:val="both"/>
        <w:rPr>
          <w:sz w:val="24"/>
          <w:szCs w:val="24"/>
        </w:rPr>
      </w:pPr>
      <w:r w:rsidRPr="0067327A">
        <w:rPr>
          <w:sz w:val="24"/>
          <w:szCs w:val="24"/>
        </w:rPr>
        <w:t>Dari hasil wawancara  bahwa Majelis Hakim telah mengupayakan perdamaian diantara para pihak melalui mediasi sebagaimana diatur dalam Perma Nomor 1 Tahun 2016 tentang Prosedur Mediasi di Pengadilan dengan menunjuk Amran S. Herman, S.H., Hakim pada Pengadilan Negeri Sungguminasa, sebagai mediator, bahwa berdasarkan laporan mediator tanggal 7 Mei 2019, upaya perdamaian tersebut tidak berhasil; Menimbang, bahwa oleh karena itu pemeriksaan perkara dilanjutkan dengan pembacaan surat gugatan yang isinya tetap dipertahankan oleh penggugat.</w:t>
      </w:r>
    </w:p>
    <w:p w:rsidR="00E01C62" w:rsidRPr="0067327A" w:rsidRDefault="00E01C62" w:rsidP="0067327A">
      <w:pPr>
        <w:pStyle w:val="NamaPenulis"/>
        <w:jc w:val="both"/>
        <w:rPr>
          <w:sz w:val="24"/>
          <w:szCs w:val="24"/>
        </w:rPr>
      </w:pPr>
    </w:p>
    <w:p w:rsidR="000376B4" w:rsidRDefault="0067327A" w:rsidP="0067327A">
      <w:pPr>
        <w:pStyle w:val="NamaPenulis"/>
        <w:spacing w:line="276" w:lineRule="auto"/>
        <w:jc w:val="both"/>
        <w:rPr>
          <w:sz w:val="24"/>
          <w:szCs w:val="24"/>
        </w:rPr>
      </w:pPr>
      <w:r w:rsidRPr="0067327A">
        <w:rPr>
          <w:sz w:val="24"/>
          <w:szCs w:val="24"/>
        </w:rPr>
        <w:t>Dari uraian di atas dapat disimpulkan, bahwa dalam pembuktian alat bukti bersifat sempurna dan mengikat. Bahwasannya dalam proses penyelesaian sengketa keperdataan para pihak yang bersengketa harus dapat membuktikan objek yang dipersengketakan adalah merupakan haknya dan bukan merupakan hak pihak lain. Adapun alat bukti dalam proses perkara perdata adalah meliputi Pemeriksaan Setempat (Pasal 153 HIR), Keterangan Ahli (Pasal 154 HIR) dan alat bukti sebagaimana disebutkan dalam Pasal 164 HIR yang meliputi Bukti Tertulis, Bukti Saksi, Persangkaan, Pengakuan dan Sumpah. Kekuatan masing-masing alat bukti tersebut berbeda-beda antara yang satu dengan yang lainnya misalnya Akta Otentik, Pengakuan dan Sumpah bersumpah pembuktian sempurna sedangkan alat bukti saksi kekuatan pembuktiannya dan persangkaan kekuatan pembuktiannya menjadi kewenangan hakim.</w:t>
      </w:r>
    </w:p>
    <w:p w:rsidR="0067327A" w:rsidRDefault="0067327A" w:rsidP="0067327A">
      <w:pPr>
        <w:pStyle w:val="NamaPenulis"/>
        <w:spacing w:line="276" w:lineRule="auto"/>
        <w:rPr>
          <w:rFonts w:asciiTheme="majorHAnsi" w:hAnsiTheme="majorHAnsi"/>
          <w:b/>
        </w:rPr>
      </w:pPr>
    </w:p>
    <w:p w:rsidR="00E01C62" w:rsidRDefault="00E01C62" w:rsidP="009205AE">
      <w:pPr>
        <w:pStyle w:val="NamaPenulis"/>
        <w:spacing w:line="276" w:lineRule="auto"/>
        <w:rPr>
          <w:rFonts w:asciiTheme="majorHAnsi" w:hAnsiTheme="majorHAnsi"/>
          <w:b/>
        </w:rPr>
      </w:pPr>
    </w:p>
    <w:p w:rsidR="00E01C62" w:rsidRDefault="00E01C62" w:rsidP="009205AE">
      <w:pPr>
        <w:pStyle w:val="NamaPenulis"/>
        <w:spacing w:line="276" w:lineRule="auto"/>
        <w:rPr>
          <w:rFonts w:asciiTheme="majorHAnsi" w:hAnsiTheme="majorHAnsi"/>
          <w:b/>
        </w:rPr>
      </w:pPr>
    </w:p>
    <w:p w:rsidR="00E01C62" w:rsidRDefault="00E01C62" w:rsidP="009205AE">
      <w:pPr>
        <w:pStyle w:val="NamaPenulis"/>
        <w:spacing w:line="276" w:lineRule="auto"/>
        <w:rPr>
          <w:rFonts w:asciiTheme="majorHAnsi" w:hAnsiTheme="majorHAnsi"/>
          <w:b/>
        </w:rPr>
      </w:pPr>
    </w:p>
    <w:p w:rsidR="00E01C62" w:rsidRDefault="00E01C62" w:rsidP="009205AE">
      <w:pPr>
        <w:pStyle w:val="NamaPenulis"/>
        <w:spacing w:line="276" w:lineRule="auto"/>
        <w:rPr>
          <w:rFonts w:asciiTheme="majorHAnsi" w:hAnsiTheme="majorHAnsi"/>
          <w:b/>
        </w:rPr>
      </w:pPr>
    </w:p>
    <w:p w:rsidR="00E01C62" w:rsidRDefault="00E01C62" w:rsidP="009205AE">
      <w:pPr>
        <w:pStyle w:val="NamaPenulis"/>
        <w:spacing w:line="276" w:lineRule="auto"/>
        <w:rPr>
          <w:rFonts w:asciiTheme="majorHAnsi" w:hAnsiTheme="majorHAnsi"/>
          <w:b/>
        </w:rPr>
      </w:pPr>
    </w:p>
    <w:p w:rsidR="00E01C62" w:rsidRDefault="00E01C62" w:rsidP="009205AE">
      <w:pPr>
        <w:pStyle w:val="NamaPenulis"/>
        <w:spacing w:line="276" w:lineRule="auto"/>
        <w:rPr>
          <w:rFonts w:asciiTheme="majorHAnsi" w:hAnsiTheme="majorHAnsi"/>
          <w:b/>
        </w:rPr>
      </w:pPr>
    </w:p>
    <w:p w:rsidR="00E01C62" w:rsidRDefault="00E01C62" w:rsidP="009205AE">
      <w:pPr>
        <w:pStyle w:val="NamaPenulis"/>
        <w:spacing w:line="276" w:lineRule="auto"/>
        <w:rPr>
          <w:rFonts w:asciiTheme="majorHAnsi" w:hAnsiTheme="majorHAnsi"/>
          <w:b/>
        </w:rPr>
      </w:pPr>
    </w:p>
    <w:p w:rsidR="00E01C62" w:rsidRDefault="00E01C62" w:rsidP="009205AE">
      <w:pPr>
        <w:pStyle w:val="NamaPenulis"/>
        <w:spacing w:line="276" w:lineRule="auto"/>
        <w:rPr>
          <w:rFonts w:asciiTheme="majorHAnsi" w:hAnsiTheme="majorHAnsi"/>
          <w:b/>
        </w:rPr>
      </w:pPr>
    </w:p>
    <w:p w:rsidR="00E01C62" w:rsidRDefault="00E01C62" w:rsidP="009205AE">
      <w:pPr>
        <w:pStyle w:val="NamaPenulis"/>
        <w:spacing w:line="276" w:lineRule="auto"/>
        <w:rPr>
          <w:rFonts w:asciiTheme="majorHAnsi" w:hAnsiTheme="majorHAnsi"/>
          <w:b/>
        </w:rPr>
      </w:pPr>
    </w:p>
    <w:p w:rsidR="00E01C62" w:rsidRDefault="00E01C62" w:rsidP="009205AE">
      <w:pPr>
        <w:pStyle w:val="NamaPenulis"/>
        <w:spacing w:line="276" w:lineRule="auto"/>
        <w:rPr>
          <w:rFonts w:asciiTheme="majorHAnsi" w:hAnsiTheme="majorHAnsi"/>
          <w:b/>
        </w:rPr>
      </w:pPr>
    </w:p>
    <w:p w:rsidR="00E01C62" w:rsidRDefault="00E01C62" w:rsidP="009205AE">
      <w:pPr>
        <w:pStyle w:val="NamaPenulis"/>
        <w:spacing w:line="276" w:lineRule="auto"/>
        <w:rPr>
          <w:rFonts w:asciiTheme="majorHAnsi" w:hAnsiTheme="majorHAnsi"/>
          <w:b/>
        </w:rPr>
      </w:pPr>
    </w:p>
    <w:p w:rsidR="00EE68E3" w:rsidRPr="00E06497" w:rsidRDefault="00211497" w:rsidP="009205AE">
      <w:pPr>
        <w:pStyle w:val="NamaPenulis"/>
        <w:spacing w:line="276" w:lineRule="auto"/>
        <w:rPr>
          <w:rFonts w:asciiTheme="majorHAnsi" w:hAnsiTheme="majorHAnsi"/>
          <w:b/>
          <w:color w:val="FF0000"/>
        </w:rPr>
      </w:pPr>
      <w:r w:rsidRPr="00E06497">
        <w:rPr>
          <w:rFonts w:asciiTheme="majorHAnsi" w:hAnsiTheme="majorHAnsi"/>
          <w:b/>
          <w:lang w:val="id-ID"/>
        </w:rPr>
        <w:lastRenderedPageBreak/>
        <w:t xml:space="preserve">KESIMPULAN DAN SARAN </w:t>
      </w:r>
    </w:p>
    <w:p w:rsidR="00073C15" w:rsidRDefault="00073C15" w:rsidP="005744E4">
      <w:pPr>
        <w:tabs>
          <w:tab w:val="left" w:pos="567"/>
        </w:tabs>
        <w:spacing w:after="0" w:line="480" w:lineRule="auto"/>
        <w:ind w:right="-7"/>
        <w:jc w:val="both"/>
        <w:rPr>
          <w:rFonts w:ascii="Cambria" w:eastAsia="Arial" w:hAnsi="Cambria" w:cs="Arial"/>
          <w:szCs w:val="24"/>
        </w:rPr>
      </w:pPr>
    </w:p>
    <w:p w:rsidR="00270650" w:rsidRPr="005744E4" w:rsidRDefault="004648AE" w:rsidP="005744E4">
      <w:pPr>
        <w:tabs>
          <w:tab w:val="left" w:pos="567"/>
        </w:tabs>
        <w:spacing w:after="0" w:line="480" w:lineRule="auto"/>
        <w:ind w:right="-7"/>
        <w:jc w:val="both"/>
        <w:rPr>
          <w:rFonts w:ascii="Cambria" w:eastAsia="Arial" w:hAnsi="Cambria" w:cs="Arial"/>
          <w:szCs w:val="24"/>
        </w:rPr>
      </w:pPr>
      <w:r>
        <w:rPr>
          <w:rFonts w:ascii="Cambria" w:eastAsia="Arial" w:hAnsi="Cambria" w:cs="Arial"/>
          <w:szCs w:val="24"/>
        </w:rPr>
        <w:t xml:space="preserve">Kesimpulan dari penelitian ini adalah </w:t>
      </w:r>
      <w:r w:rsidRPr="004648AE">
        <w:rPr>
          <w:rFonts w:ascii="Cambria" w:eastAsia="Arial" w:hAnsi="Cambria" w:cs="Arial"/>
          <w:szCs w:val="24"/>
        </w:rPr>
        <w:t>Kekuatan pembuktian putusan berdasarkan No. 29/Pdt.G/2019/PN Sgm dalam proses pemeriksaan sidang perkara perdata bahwa pemeriksaan setempat merupakan fakta yang ditemukan hakim di persidangan, oleh karenanya mempunyai daya kekuatan mengikat bagi hakim. Setiap fakta yang ditemukan dalam persidangan membuat hakim terikat untuk menjadikannya sebagai dasar pertimbangan mengambil putusan. Akan tetapi daya ikatnya tidak mutlak, jadi hakim bebas menentukan nilai kekuatan pembuktiannya, yang menyebabkan pemeriksaan setempat memiliki kekuatan pembuktian yang bebas, yaitu dapat menetapkan luas tanah objek sengketa, untuk memperjelas objek sengketa, dasar mengabulkan gugatan, dan atau dasar menyatakan gugatan tidak dapat diterima</w:t>
      </w:r>
      <w:r>
        <w:rPr>
          <w:rFonts w:ascii="Cambria" w:eastAsia="Arial" w:hAnsi="Cambria" w:cs="Arial"/>
          <w:szCs w:val="24"/>
        </w:rPr>
        <w:t xml:space="preserve">. Dan saran dari penelitian ini adalah </w:t>
      </w:r>
      <w:r w:rsidRPr="004648AE">
        <w:rPr>
          <w:rFonts w:ascii="Cambria" w:eastAsia="Arial" w:hAnsi="Cambria" w:cs="Arial"/>
          <w:szCs w:val="24"/>
        </w:rPr>
        <w:t>Hakim diharapkan dalam memeriksa perkara dapat memeriksa dengan cermat dan teliti bukti-bukti antara pihak-pihak yang berperkara, hasil bukti dihubungkan satu sama lain hingga adanya kejelasan fakta apakah pihak pengggugat atau sebaliknya pihak tergugat yang dibenarkan, karena dalam bukti tidak selalu pihak penggugat saja yang harus membuktikan dalilnya. Pengetahuan hakim juga dapat digunakan bukti dalam sidang perkara perdata, salah satunya yaitu dengan adanya pemeriksaan setempat.</w:t>
      </w:r>
    </w:p>
    <w:p w:rsidR="00270650" w:rsidRDefault="00270650" w:rsidP="00AD52DA">
      <w:pPr>
        <w:pStyle w:val="NamaPenulis"/>
        <w:spacing w:line="360" w:lineRule="auto"/>
        <w:rPr>
          <w:b/>
        </w:rPr>
      </w:pPr>
    </w:p>
    <w:p w:rsidR="00EE68E3" w:rsidRDefault="00211497" w:rsidP="00AD52DA">
      <w:pPr>
        <w:pStyle w:val="NamaPenulis"/>
        <w:spacing w:line="360" w:lineRule="auto"/>
        <w:rPr>
          <w:b/>
          <w:color w:val="FF0000"/>
        </w:rPr>
      </w:pPr>
      <w:r>
        <w:rPr>
          <w:b/>
          <w:lang w:val="id-ID"/>
        </w:rPr>
        <w:t xml:space="preserve">UNGKAPAN TERIMAKASIH </w:t>
      </w:r>
    </w:p>
    <w:p w:rsidR="00C267DE" w:rsidRPr="00C267DE" w:rsidRDefault="00C267DE" w:rsidP="00AD52DA">
      <w:pPr>
        <w:pStyle w:val="NamaPenulis"/>
        <w:spacing w:line="360" w:lineRule="auto"/>
        <w:rPr>
          <w:i/>
          <w:color w:val="FF0000"/>
        </w:rPr>
      </w:pPr>
    </w:p>
    <w:p w:rsidR="00E06497" w:rsidRPr="00A50551" w:rsidRDefault="00C267DE" w:rsidP="00AD52DA">
      <w:pPr>
        <w:spacing w:line="360" w:lineRule="auto"/>
        <w:jc w:val="both"/>
        <w:rPr>
          <w:rFonts w:ascii="Cambria" w:hAnsi="Cambria" w:cs="Arial"/>
          <w:sz w:val="24"/>
        </w:rPr>
      </w:pPr>
      <w:r>
        <w:rPr>
          <w:rFonts w:ascii="Cambria" w:hAnsi="Cambria" w:cs="Arial"/>
          <w:sz w:val="24"/>
        </w:rPr>
        <w:t>Penulis mengucapkan banyak terimakasih k</w:t>
      </w:r>
      <w:r w:rsidRPr="00AF1F67">
        <w:rPr>
          <w:rFonts w:ascii="Cambria" w:hAnsi="Cambria" w:cs="Arial"/>
          <w:sz w:val="24"/>
        </w:rPr>
        <w:t xml:space="preserve">epada seluruh pihak yang tidak dapat disebutkan satu persatu dalam tulisan ini, Penulis </w:t>
      </w:r>
      <w:r>
        <w:rPr>
          <w:rFonts w:ascii="Cambria" w:hAnsi="Cambria" w:cs="Arial"/>
          <w:sz w:val="24"/>
        </w:rPr>
        <w:t xml:space="preserve">juga </w:t>
      </w:r>
      <w:r w:rsidRPr="00AF1F67">
        <w:rPr>
          <w:rFonts w:ascii="Cambria" w:hAnsi="Cambria" w:cs="Arial"/>
          <w:sz w:val="24"/>
        </w:rPr>
        <w:t>ucapkan banyak terima kasih a</w:t>
      </w:r>
      <w:r w:rsidR="004648AE">
        <w:rPr>
          <w:rFonts w:ascii="Cambria" w:hAnsi="Cambria" w:cs="Arial"/>
          <w:sz w:val="24"/>
        </w:rPr>
        <w:t>tas bantuan dan kebersamaannya.</w:t>
      </w:r>
      <w:r w:rsidRPr="00AF1F67">
        <w:rPr>
          <w:rFonts w:ascii="Cambria" w:hAnsi="Cambria" w:cs="Arial"/>
          <w:sz w:val="24"/>
        </w:rPr>
        <w:t xml:space="preserve"> Akhirnya Penulis mengharap semoga dengan hadirnya jurnal ini dapat bermanfaat bagi pengembangan ilmu dan teknologi menuju yang lebih baik lagi.  Semoga  Allah SWT, senantiasa memberkati dan merahmati segala aktivitas keseharian sebagai suatu ibadah disisi-Nya. Aamiin.</w:t>
      </w:r>
    </w:p>
    <w:p w:rsidR="00C566F6" w:rsidRDefault="00C566F6" w:rsidP="00C267DE">
      <w:pPr>
        <w:pStyle w:val="NamaPenulis"/>
        <w:spacing w:line="276" w:lineRule="auto"/>
        <w:rPr>
          <w:b/>
        </w:rPr>
      </w:pPr>
    </w:p>
    <w:p w:rsidR="00C566F6" w:rsidRDefault="00C566F6" w:rsidP="00C267DE">
      <w:pPr>
        <w:pStyle w:val="NamaPenulis"/>
        <w:spacing w:line="276" w:lineRule="auto"/>
        <w:rPr>
          <w:b/>
        </w:rPr>
      </w:pPr>
    </w:p>
    <w:p w:rsidR="00073C15" w:rsidRDefault="00073C15" w:rsidP="00E01C62">
      <w:pPr>
        <w:pStyle w:val="NamaPenulis"/>
        <w:spacing w:line="276" w:lineRule="auto"/>
        <w:jc w:val="left"/>
        <w:rPr>
          <w:b/>
        </w:rPr>
      </w:pPr>
    </w:p>
    <w:p w:rsidR="00006069" w:rsidRPr="00AD52DA" w:rsidRDefault="00211497" w:rsidP="00AD52DA">
      <w:pPr>
        <w:pStyle w:val="NamaPenulis"/>
        <w:spacing w:line="276" w:lineRule="auto"/>
        <w:rPr>
          <w:b/>
        </w:rPr>
      </w:pPr>
      <w:r>
        <w:rPr>
          <w:b/>
          <w:lang w:val="id-ID"/>
        </w:rPr>
        <w:lastRenderedPageBreak/>
        <w:t xml:space="preserve">REFERENSI </w:t>
      </w:r>
    </w:p>
    <w:p w:rsidR="00073C15" w:rsidRPr="00073C15" w:rsidRDefault="00C267DE" w:rsidP="00073C15">
      <w:pPr>
        <w:spacing w:after="0" w:line="360" w:lineRule="auto"/>
        <w:ind w:firstLine="720"/>
        <w:rPr>
          <w:rFonts w:ascii="Cambria" w:hAnsi="Cambria" w:cs="Arial"/>
          <w:b/>
          <w:bCs/>
          <w:sz w:val="24"/>
          <w:szCs w:val="24"/>
        </w:rPr>
      </w:pPr>
      <w:r w:rsidRPr="005845B6">
        <w:rPr>
          <w:rFonts w:ascii="Cambria" w:hAnsi="Cambria" w:cs="Arial"/>
          <w:b/>
          <w:bCs/>
          <w:sz w:val="24"/>
          <w:szCs w:val="24"/>
        </w:rPr>
        <w:t>Literatur</w:t>
      </w:r>
    </w:p>
    <w:p w:rsidR="004648AE" w:rsidRDefault="004648AE" w:rsidP="006B31B0">
      <w:pPr>
        <w:spacing w:line="240" w:lineRule="auto"/>
        <w:jc w:val="both"/>
        <w:rPr>
          <w:rFonts w:asciiTheme="majorHAnsi" w:hAnsiTheme="majorHAnsi" w:cs="Arial"/>
          <w:sz w:val="24"/>
          <w:szCs w:val="24"/>
        </w:rPr>
      </w:pPr>
      <w:r>
        <w:rPr>
          <w:rFonts w:asciiTheme="majorHAnsi" w:hAnsiTheme="majorHAnsi" w:cs="Arial"/>
          <w:sz w:val="24"/>
          <w:szCs w:val="24"/>
        </w:rPr>
        <w:t>Elfrida, Gultom R.</w:t>
      </w:r>
      <w:r w:rsidRPr="004648AE">
        <w:rPr>
          <w:rFonts w:asciiTheme="majorHAnsi" w:hAnsiTheme="majorHAnsi" w:cs="Arial"/>
          <w:sz w:val="24"/>
          <w:szCs w:val="24"/>
        </w:rPr>
        <w:t xml:space="preserve"> Hukum Acara Perdata Edisi 2, Jaka</w:t>
      </w:r>
      <w:r>
        <w:rPr>
          <w:rFonts w:asciiTheme="majorHAnsi" w:hAnsiTheme="majorHAnsi" w:cs="Arial"/>
          <w:sz w:val="24"/>
          <w:szCs w:val="24"/>
        </w:rPr>
        <w:t xml:space="preserve">rta: Media Wacana Media, 2017. </w:t>
      </w:r>
    </w:p>
    <w:p w:rsidR="004648AE" w:rsidRDefault="004648AE" w:rsidP="006B31B0">
      <w:pPr>
        <w:spacing w:line="240" w:lineRule="auto"/>
        <w:ind w:left="709" w:hanging="709"/>
        <w:jc w:val="both"/>
        <w:rPr>
          <w:rFonts w:asciiTheme="majorHAnsi" w:hAnsiTheme="majorHAnsi" w:cs="Arial"/>
          <w:sz w:val="24"/>
          <w:szCs w:val="24"/>
        </w:rPr>
      </w:pPr>
      <w:r w:rsidRPr="004648AE">
        <w:rPr>
          <w:rFonts w:asciiTheme="majorHAnsi" w:hAnsiTheme="majorHAnsi" w:cs="Arial"/>
          <w:sz w:val="24"/>
          <w:szCs w:val="24"/>
        </w:rPr>
        <w:t xml:space="preserve">Harahap, M. Yahya, Hukum Acara Perdata: Gugatan, Persidangan, Penyitaan, Bukti, dan Putusan Pengadilan, Jakarta: Sinar Grafika, 2005. </w:t>
      </w:r>
    </w:p>
    <w:p w:rsidR="004648AE" w:rsidRPr="004648AE" w:rsidRDefault="004648AE" w:rsidP="006B31B0">
      <w:pPr>
        <w:spacing w:line="240" w:lineRule="auto"/>
        <w:ind w:left="567" w:hanging="567"/>
        <w:jc w:val="both"/>
        <w:rPr>
          <w:rFonts w:asciiTheme="majorHAnsi" w:hAnsiTheme="majorHAnsi" w:cs="Arial"/>
          <w:sz w:val="24"/>
          <w:szCs w:val="24"/>
        </w:rPr>
      </w:pPr>
      <w:r w:rsidRPr="004648AE">
        <w:rPr>
          <w:rFonts w:asciiTheme="majorHAnsi" w:hAnsiTheme="majorHAnsi" w:cs="Arial"/>
          <w:sz w:val="24"/>
          <w:szCs w:val="24"/>
        </w:rPr>
        <w:t xml:space="preserve">Mertokusumo, Sudikno, Penemuan Hukum Sebuah Pengantar, Yogyakarta: Liberty, 2009. </w:t>
      </w:r>
    </w:p>
    <w:p w:rsidR="004648AE" w:rsidRDefault="004648AE" w:rsidP="006B31B0">
      <w:pPr>
        <w:spacing w:line="240" w:lineRule="auto"/>
        <w:ind w:left="567" w:hanging="567"/>
        <w:jc w:val="both"/>
        <w:rPr>
          <w:rFonts w:asciiTheme="majorHAnsi" w:hAnsiTheme="majorHAnsi" w:cs="Arial"/>
          <w:sz w:val="24"/>
          <w:szCs w:val="24"/>
        </w:rPr>
      </w:pPr>
      <w:r w:rsidRPr="004648AE">
        <w:rPr>
          <w:rFonts w:asciiTheme="majorHAnsi" w:hAnsiTheme="majorHAnsi" w:cs="Arial"/>
          <w:sz w:val="24"/>
          <w:szCs w:val="24"/>
        </w:rPr>
        <w:t xml:space="preserve">Muhammad, Abdul Kadir, Hukum Acara Perdata Indonesia, Bandung: Citra Ditya Bakti, 2012. </w:t>
      </w:r>
    </w:p>
    <w:p w:rsidR="004648AE" w:rsidRPr="004648AE" w:rsidRDefault="004648AE" w:rsidP="006B31B0">
      <w:pPr>
        <w:spacing w:line="240" w:lineRule="auto"/>
        <w:ind w:left="567" w:hanging="567"/>
        <w:jc w:val="both"/>
        <w:rPr>
          <w:rFonts w:asciiTheme="majorHAnsi" w:hAnsiTheme="majorHAnsi" w:cs="Arial"/>
          <w:sz w:val="24"/>
          <w:szCs w:val="24"/>
        </w:rPr>
      </w:pPr>
      <w:r w:rsidRPr="004648AE">
        <w:rPr>
          <w:rFonts w:asciiTheme="majorHAnsi" w:hAnsiTheme="majorHAnsi" w:cs="Arial"/>
          <w:sz w:val="24"/>
          <w:szCs w:val="24"/>
        </w:rPr>
        <w:t xml:space="preserve">Syahrani, Ridwan, Buku Materi Dasar Hukum Acara Perdata, Bandung: Citra Aditya Bakti, 2004. </w:t>
      </w:r>
    </w:p>
    <w:p w:rsidR="004648AE" w:rsidRDefault="004648AE" w:rsidP="006B31B0">
      <w:pPr>
        <w:pStyle w:val="FootnoteText"/>
        <w:jc w:val="both"/>
        <w:rPr>
          <w:rFonts w:asciiTheme="majorHAnsi" w:hAnsiTheme="majorHAnsi"/>
          <w:sz w:val="24"/>
          <w:szCs w:val="24"/>
        </w:rPr>
      </w:pPr>
      <w:r w:rsidRPr="004648AE">
        <w:rPr>
          <w:rFonts w:asciiTheme="majorHAnsi" w:hAnsiTheme="majorHAnsi"/>
          <w:sz w:val="24"/>
          <w:szCs w:val="24"/>
        </w:rPr>
        <w:t>Subekti Dan R Tjitrosudibio, Kitab Undang- Undang Hukum Perdata. Jakarta: Pradnya Pramita. 2008.</w:t>
      </w:r>
    </w:p>
    <w:p w:rsidR="004648AE" w:rsidRPr="004648AE" w:rsidRDefault="004648AE" w:rsidP="006B31B0">
      <w:pPr>
        <w:pStyle w:val="FootnoteText"/>
        <w:jc w:val="both"/>
        <w:rPr>
          <w:rFonts w:asciiTheme="majorHAnsi" w:hAnsiTheme="majorHAnsi"/>
          <w:sz w:val="24"/>
          <w:szCs w:val="24"/>
        </w:rPr>
      </w:pPr>
    </w:p>
    <w:p w:rsidR="004648AE" w:rsidRPr="004648AE" w:rsidRDefault="004648AE" w:rsidP="006B31B0">
      <w:pPr>
        <w:spacing w:line="240" w:lineRule="auto"/>
        <w:ind w:left="709" w:hanging="709"/>
        <w:jc w:val="both"/>
        <w:rPr>
          <w:rFonts w:asciiTheme="majorHAnsi" w:hAnsiTheme="majorHAnsi" w:cs="Arial"/>
          <w:sz w:val="24"/>
          <w:szCs w:val="24"/>
        </w:rPr>
      </w:pPr>
      <w:r w:rsidRPr="004648AE">
        <w:rPr>
          <w:rFonts w:asciiTheme="majorHAnsi" w:hAnsiTheme="majorHAnsi" w:cs="Arial"/>
          <w:sz w:val="24"/>
          <w:szCs w:val="24"/>
        </w:rPr>
        <w:t xml:space="preserve">Tutik, Titik Triwulan, Pengantar Ilmu Hukum, Jakarta: Prestasi Pustakaraya, 2006. </w:t>
      </w:r>
    </w:p>
    <w:p w:rsidR="004648AE" w:rsidRPr="004648AE" w:rsidRDefault="004648AE" w:rsidP="006B31B0">
      <w:pPr>
        <w:spacing w:line="240" w:lineRule="auto"/>
        <w:ind w:left="709" w:hanging="709"/>
        <w:jc w:val="both"/>
        <w:rPr>
          <w:rFonts w:asciiTheme="majorHAnsi" w:hAnsiTheme="majorHAnsi" w:cs="Arial"/>
          <w:sz w:val="24"/>
          <w:szCs w:val="24"/>
        </w:rPr>
      </w:pPr>
      <w:r w:rsidRPr="004648AE">
        <w:rPr>
          <w:rFonts w:asciiTheme="majorHAnsi" w:hAnsiTheme="majorHAnsi" w:cs="Arial"/>
          <w:sz w:val="24"/>
          <w:szCs w:val="24"/>
        </w:rPr>
        <w:t>Tata Wijaya, et. al, 2009, Laporan Penelitian Penerapan Prinsip Hukum Pasif dan Aktif Serta Relevansinya Terhadap Konsep Kebenaran Formal, Yogyakarta: Fakulta</w:t>
      </w:r>
      <w:r>
        <w:rPr>
          <w:rFonts w:asciiTheme="majorHAnsi" w:hAnsiTheme="majorHAnsi" w:cs="Arial"/>
          <w:sz w:val="24"/>
          <w:szCs w:val="24"/>
        </w:rPr>
        <w:t>s Hukum Universitas Gajah Mada.</w:t>
      </w:r>
    </w:p>
    <w:p w:rsidR="004648AE" w:rsidRDefault="004648AE" w:rsidP="006B31B0">
      <w:pPr>
        <w:pStyle w:val="FootnoteText"/>
        <w:ind w:firstLine="709"/>
        <w:jc w:val="both"/>
        <w:rPr>
          <w:rFonts w:asciiTheme="majorHAnsi" w:hAnsiTheme="majorHAnsi"/>
          <w:b/>
          <w:sz w:val="24"/>
        </w:rPr>
      </w:pPr>
      <w:r w:rsidRPr="004648AE">
        <w:rPr>
          <w:rFonts w:asciiTheme="majorHAnsi" w:hAnsiTheme="majorHAnsi"/>
          <w:b/>
          <w:sz w:val="24"/>
        </w:rPr>
        <w:t>Wawancara</w:t>
      </w:r>
    </w:p>
    <w:p w:rsidR="004648AE" w:rsidRPr="004648AE" w:rsidRDefault="004648AE" w:rsidP="006B31B0">
      <w:pPr>
        <w:pStyle w:val="FootnoteText"/>
        <w:jc w:val="both"/>
        <w:rPr>
          <w:rFonts w:asciiTheme="majorHAnsi" w:hAnsiTheme="majorHAnsi"/>
          <w:b/>
          <w:sz w:val="24"/>
        </w:rPr>
      </w:pPr>
    </w:p>
    <w:p w:rsidR="004648AE" w:rsidRPr="006B31B0" w:rsidRDefault="004648AE" w:rsidP="006B31B0">
      <w:pPr>
        <w:pStyle w:val="FootnoteText"/>
        <w:spacing w:line="360" w:lineRule="auto"/>
        <w:ind w:firstLine="709"/>
        <w:jc w:val="both"/>
        <w:rPr>
          <w:rFonts w:asciiTheme="majorHAnsi" w:hAnsiTheme="majorHAnsi" w:cs="Arial"/>
          <w:sz w:val="24"/>
          <w:szCs w:val="24"/>
        </w:rPr>
      </w:pPr>
      <w:r w:rsidRPr="006B31B0">
        <w:rPr>
          <w:rFonts w:asciiTheme="majorHAnsi" w:hAnsiTheme="majorHAnsi"/>
          <w:sz w:val="24"/>
          <w:szCs w:val="24"/>
        </w:rPr>
        <w:t>Yulianti Muhidin. Hakim Pengadilan Negeri Sungguminasa. Wawancara. Sungguminasa. 03 Juni 2021</w:t>
      </w:r>
    </w:p>
    <w:p w:rsidR="00006069" w:rsidRPr="00006069" w:rsidRDefault="00006069" w:rsidP="00006069">
      <w:pPr>
        <w:pStyle w:val="FootnoteText"/>
        <w:spacing w:line="360" w:lineRule="auto"/>
        <w:rPr>
          <w:lang w:val="id-ID"/>
        </w:rPr>
      </w:pPr>
    </w:p>
    <w:sectPr w:rsidR="00006069" w:rsidRPr="00006069" w:rsidSect="00FF2EF1">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523" w:rsidRDefault="006A2523" w:rsidP="00FF2EF1">
      <w:pPr>
        <w:spacing w:after="0" w:line="240" w:lineRule="auto"/>
      </w:pPr>
      <w:r>
        <w:separator/>
      </w:r>
    </w:p>
  </w:endnote>
  <w:endnote w:type="continuationSeparator" w:id="0">
    <w:p w:rsidR="006A2523" w:rsidRDefault="006A2523"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146696"/>
      <w:docPartObj>
        <w:docPartGallery w:val="Page Numbers (Bottom of Page)"/>
        <w:docPartUnique/>
      </w:docPartObj>
    </w:sdtPr>
    <w:sdtEndPr>
      <w:rPr>
        <w:noProof/>
      </w:rPr>
    </w:sdtEndPr>
    <w:sdtContent>
      <w:p w:rsidR="00FF2EF1" w:rsidRPr="00FA2A80" w:rsidRDefault="00FA2A80" w:rsidP="00FA2A80">
        <w:pPr>
          <w:pStyle w:val="Footer"/>
          <w:tabs>
            <w:tab w:val="clear" w:pos="9360"/>
          </w:tabs>
        </w:pPr>
        <w:r>
          <w:rPr>
            <w:rFonts w:ascii="Cambria" w:hAnsi="Cambria" w:cs="Cambria"/>
            <w:noProof/>
          </w:rPr>
          <mc:AlternateContent>
            <mc:Choice Requires="wps">
              <w:drawing>
                <wp:anchor distT="0" distB="0" distL="114300" distR="114300" simplePos="0" relativeHeight="251679744" behindDoc="1" locked="0" layoutInCell="1" allowOverlap="1" wp14:anchorId="5DD0D776" wp14:editId="2FE6B9A9">
                  <wp:simplePos x="0" y="0"/>
                  <wp:positionH relativeFrom="margin">
                    <wp:posOffset>-5080</wp:posOffset>
                  </wp:positionH>
                  <wp:positionV relativeFrom="margin">
                    <wp:posOffset>9072245</wp:posOffset>
                  </wp:positionV>
                  <wp:extent cx="575945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4DA5AD" id="Straight Connector 9" o:spid="_x0000_s1026" style="position:absolute;z-index:-2516367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" strokecolor="#c00000">
                  <w10:wrap anchorx="margin" anchory="margin"/>
                </v:line>
              </w:pict>
            </mc:Fallback>
          </mc:AlternateContent>
        </w:r>
        <w:r>
          <w:fldChar w:fldCharType="begin"/>
        </w:r>
        <w:r>
          <w:instrText xml:space="preserve"> PAGE   \* MERGEFORMAT </w:instrText>
        </w:r>
        <w:r>
          <w:fldChar w:fldCharType="separate"/>
        </w:r>
        <w:r w:rsidR="00754972">
          <w:rPr>
            <w:noProof/>
          </w:rPr>
          <w:t>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331858"/>
      <w:docPartObj>
        <w:docPartGallery w:val="Page Numbers (Bottom of Page)"/>
        <w:docPartUnique/>
      </w:docPartObj>
    </w:sdtPr>
    <w:sdtEndPr>
      <w:rPr>
        <w:noProof/>
      </w:rPr>
    </w:sdtEndPr>
    <w:sdtContent>
      <w:p w:rsidR="00837582" w:rsidRPr="00725C44" w:rsidRDefault="00725C44" w:rsidP="00725C44">
        <w:pPr>
          <w:pStyle w:val="Footer"/>
          <w:tabs>
            <w:tab w:val="clear" w:pos="9360"/>
          </w:tabs>
          <w:jc w:val="right"/>
        </w:pPr>
        <w:r>
          <w:rPr>
            <w:rFonts w:ascii="Cambria" w:hAnsi="Cambria" w:cs="Cambria"/>
            <w:noProof/>
          </w:rPr>
          <mc:AlternateContent>
            <mc:Choice Requires="wps">
              <w:drawing>
                <wp:anchor distT="0" distB="0" distL="114300" distR="114300" simplePos="0" relativeHeight="251683840" behindDoc="1" locked="0" layoutInCell="1" allowOverlap="1" wp14:anchorId="416D6289" wp14:editId="1C69E8F4">
                  <wp:simplePos x="0" y="0"/>
                  <wp:positionH relativeFrom="margin">
                    <wp:posOffset>-5080</wp:posOffset>
                  </wp:positionH>
                  <wp:positionV relativeFrom="margin">
                    <wp:posOffset>9072245</wp:posOffset>
                  </wp:positionV>
                  <wp:extent cx="575945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6F8143" id="Straight Connector 12" o:spid="_x0000_s1026" style="position:absolute;z-index:-2516326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yi3A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" strokecolor="#c00000">
                  <w10:wrap anchorx="margin" anchory="margin"/>
                </v:line>
              </w:pict>
            </mc:Fallback>
          </mc:AlternateContent>
        </w:r>
        <w:r>
          <w:fldChar w:fldCharType="begin"/>
        </w:r>
        <w:r>
          <w:instrText xml:space="preserve"> PAGE   \* MERGEFORMAT </w:instrText>
        </w:r>
        <w:r>
          <w:fldChar w:fldCharType="separate"/>
        </w:r>
        <w:r w:rsidR="00754972">
          <w:rPr>
            <w:noProof/>
          </w:rPr>
          <w:t>15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rsidR="00030000" w:rsidRPr="00030000" w:rsidRDefault="00030000" w:rsidP="00030000">
        <w:pPr>
          <w:pStyle w:val="CorrespondingAuthor"/>
          <w:spacing w:line="240" w:lineRule="auto"/>
          <w:jc w:val="left"/>
          <w:rPr>
            <w:rFonts w:asciiTheme="majorHAnsi" w:hAnsiTheme="majorHAnsi"/>
            <w:i w:val="0"/>
            <w:sz w:val="20"/>
            <w:lang w:val="id-ID"/>
          </w:rPr>
        </w:pPr>
      </w:p>
      <w:p w:rsidR="00FF2EF1" w:rsidRPr="00FA2A80" w:rsidRDefault="007C5083" w:rsidP="000D402E">
        <w:pPr>
          <w:pStyle w:val="Footer"/>
          <w:tabs>
            <w:tab w:val="clear" w:pos="9360"/>
            <w:tab w:val="left" w:pos="687"/>
            <w:tab w:val="left" w:pos="3689"/>
            <w:tab w:val="right" w:pos="9071"/>
          </w:tabs>
          <w:jc w:val="center"/>
        </w:pPr>
        <w:r>
          <w:rPr>
            <w:noProof/>
          </w:rPr>
          <w:drawing>
            <wp:anchor distT="0" distB="0" distL="114300" distR="114300" simplePos="0" relativeHeight="251684864" behindDoc="1" locked="0" layoutInCell="1" allowOverlap="1" wp14:anchorId="15413644" wp14:editId="01CB9930">
              <wp:simplePos x="0" y="0"/>
              <wp:positionH relativeFrom="margin">
                <wp:align>left</wp:align>
              </wp:positionH>
              <wp:positionV relativeFrom="paragraph">
                <wp:posOffset>183710</wp:posOffset>
              </wp:positionV>
              <wp:extent cx="951230" cy="32893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28930"/>
                      </a:xfrm>
                      <a:prstGeom prst="rect">
                        <a:avLst/>
                      </a:prstGeom>
                      <a:noFill/>
                    </pic:spPr>
                  </pic:pic>
                </a:graphicData>
              </a:graphic>
              <wp14:sizeRelH relativeFrom="page">
                <wp14:pctWidth>0</wp14:pctWidth>
              </wp14:sizeRelH>
              <wp14:sizeRelV relativeFrom="page">
                <wp14:pctHeight>0</wp14:pctHeight>
              </wp14:sizeRelV>
            </wp:anchor>
          </w:drawing>
        </w:r>
        <w:r w:rsidR="00030000">
          <w:rPr>
            <w:rFonts w:asciiTheme="majorHAnsi" w:hAnsiTheme="majorHAnsi"/>
            <w:sz w:val="20"/>
            <w:lang w:val="en-ID"/>
          </w:rPr>
          <w:t>L</w:t>
        </w:r>
        <w:r w:rsidR="00030000">
          <w:rPr>
            <w:rFonts w:asciiTheme="majorHAnsi" w:hAnsiTheme="majorHAnsi"/>
            <w:sz w:val="20"/>
            <w:lang w:val="id-ID"/>
          </w:rPr>
          <w:t>isensi CC BY</w:t>
        </w:r>
        <w:r w:rsidR="00030000" w:rsidRPr="00030000">
          <w:rPr>
            <w:rFonts w:asciiTheme="majorHAnsi" w:hAnsiTheme="majorHAnsi"/>
            <w:sz w:val="20"/>
            <w:lang w:val="id-ID"/>
          </w:rPr>
          <w:t>-4.0</w:t>
        </w:r>
        <w:r w:rsidR="00030000">
          <w:rPr>
            <w:sz w:val="20"/>
          </w:rPr>
          <w:t xml:space="preserve">                  </w:t>
        </w:r>
        <w:r w:rsidR="00030000">
          <w:tab/>
        </w:r>
        <w:r w:rsidR="00030000">
          <w:tab/>
        </w:r>
        <w:r w:rsidR="00030000">
          <w:tab/>
        </w:r>
        <w:r w:rsidR="00030000">
          <w:tab/>
        </w:r>
        <w:r w:rsidR="00FA2A80">
          <w:fldChar w:fldCharType="begin"/>
        </w:r>
        <w:r w:rsidR="00FA2A80">
          <w:instrText xml:space="preserve"> PAGE   \* MERGEFORMAT </w:instrText>
        </w:r>
        <w:r w:rsidR="00FA2A80">
          <w:fldChar w:fldCharType="separate"/>
        </w:r>
        <w:r w:rsidR="00754972">
          <w:rPr>
            <w:noProof/>
          </w:rPr>
          <w:t>1</w:t>
        </w:r>
        <w:r w:rsidR="00FA2A80">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523" w:rsidRDefault="006A2523" w:rsidP="00FF2EF1">
      <w:pPr>
        <w:spacing w:after="0" w:line="240" w:lineRule="auto"/>
      </w:pPr>
      <w:r>
        <w:separator/>
      </w:r>
    </w:p>
  </w:footnote>
  <w:footnote w:type="continuationSeparator" w:id="0">
    <w:p w:rsidR="006A2523" w:rsidRDefault="006A2523" w:rsidP="00FF2EF1">
      <w:pPr>
        <w:spacing w:after="0" w:line="240" w:lineRule="auto"/>
      </w:pPr>
      <w:r>
        <w:continuationSeparator/>
      </w:r>
    </w:p>
  </w:footnote>
  <w:footnote w:id="1">
    <w:p w:rsidR="00F90F78" w:rsidRDefault="00F90F78" w:rsidP="00F90F78">
      <w:pPr>
        <w:pStyle w:val="FootnoteText"/>
        <w:ind w:firstLine="720"/>
        <w:jc w:val="both"/>
      </w:pPr>
      <w:r>
        <w:rPr>
          <w:rStyle w:val="FootnoteReference"/>
        </w:rPr>
        <w:footnoteRef/>
      </w:r>
      <w:r>
        <w:t xml:space="preserve"> </w:t>
      </w:r>
      <w:r>
        <w:rPr>
          <w:rFonts w:cstheme="minorHAnsi"/>
        </w:rPr>
        <w:t>Tutik,Titik Triwulan.</w:t>
      </w:r>
      <w:r w:rsidRPr="00F90F78">
        <w:rPr>
          <w:rFonts w:cstheme="minorHAnsi"/>
        </w:rPr>
        <w:t xml:space="preserve"> </w:t>
      </w:r>
      <w:r w:rsidRPr="00F90F78">
        <w:rPr>
          <w:rFonts w:cstheme="minorHAnsi"/>
          <w:i/>
          <w:iCs/>
        </w:rPr>
        <w:t>Pengantar Ilmu Hukum</w:t>
      </w:r>
      <w:r>
        <w:rPr>
          <w:rFonts w:cstheme="minorHAnsi"/>
        </w:rPr>
        <w:t>. Jakarta: Prestasi Pustakarya. 2006. hal</w:t>
      </w:r>
      <w:r w:rsidRPr="00F90F78">
        <w:rPr>
          <w:rFonts w:cstheme="minorHAnsi"/>
        </w:rPr>
        <w:t>.</w:t>
      </w:r>
      <w:r>
        <w:rPr>
          <w:rFonts w:cstheme="minorHAnsi"/>
        </w:rPr>
        <w:t xml:space="preserve"> </w:t>
      </w:r>
      <w:r w:rsidRPr="00F90F78">
        <w:rPr>
          <w:rFonts w:cstheme="minorHAnsi"/>
        </w:rPr>
        <w:t>5</w:t>
      </w:r>
    </w:p>
  </w:footnote>
  <w:footnote w:id="2">
    <w:p w:rsidR="00F90F78" w:rsidRDefault="00F90F78" w:rsidP="00F90F78">
      <w:pPr>
        <w:pStyle w:val="FootnoteText"/>
        <w:ind w:firstLine="720"/>
      </w:pPr>
      <w:r>
        <w:rPr>
          <w:rStyle w:val="FootnoteReference"/>
        </w:rPr>
        <w:footnoteRef/>
      </w:r>
      <w:r>
        <w:t xml:space="preserve"> </w:t>
      </w:r>
      <w:r w:rsidRPr="00F90F78">
        <w:t>Tata Wijaya,</w:t>
      </w:r>
      <w:r>
        <w:t xml:space="preserve"> et </w:t>
      </w:r>
      <w:r w:rsidRPr="00F90F78">
        <w:t>a</w:t>
      </w:r>
      <w:r>
        <w:t xml:space="preserve">ll. </w:t>
      </w:r>
      <w:r w:rsidRPr="00F90F78">
        <w:t>Laporan penelitian Penerapan Prinsip Hukum Pasif dan Akt</w:t>
      </w:r>
      <w:r>
        <w:t>if. Yogyakarta Gadja Mada. 2009. hal. 1</w:t>
      </w:r>
    </w:p>
  </w:footnote>
  <w:footnote w:id="3">
    <w:p w:rsidR="00F90F78" w:rsidRDefault="00F90F78" w:rsidP="00F90F78">
      <w:pPr>
        <w:pStyle w:val="FootnoteText"/>
        <w:ind w:firstLine="720"/>
      </w:pPr>
      <w:r>
        <w:rPr>
          <w:rStyle w:val="FootnoteReference"/>
        </w:rPr>
        <w:footnoteRef/>
      </w:r>
      <w:r>
        <w:t xml:space="preserve"> Harahap M Yahya. Hukum Acara Perdata. Jakarta</w:t>
      </w:r>
      <w:r w:rsidRPr="00F90F78">
        <w:t>: Sinar Grafika</w:t>
      </w:r>
      <w:r>
        <w:t>.</w:t>
      </w:r>
      <w:r w:rsidRPr="00F90F78">
        <w:t xml:space="preserve"> 2005</w:t>
      </w:r>
      <w:r>
        <w:t>.</w:t>
      </w:r>
      <w:r w:rsidRPr="00F90F78">
        <w:t xml:space="preserve"> Hal. 49</w:t>
      </w:r>
    </w:p>
  </w:footnote>
  <w:footnote w:id="4">
    <w:p w:rsidR="00F90F78" w:rsidRDefault="00F90F78" w:rsidP="00F90F78">
      <w:pPr>
        <w:pStyle w:val="FootnoteText"/>
        <w:ind w:firstLine="720"/>
      </w:pPr>
      <w:r>
        <w:rPr>
          <w:rStyle w:val="FootnoteReference"/>
        </w:rPr>
        <w:footnoteRef/>
      </w:r>
      <w:r>
        <w:t xml:space="preserve"> Ridwan Syahrani.</w:t>
      </w:r>
      <w:r w:rsidRPr="00F90F78">
        <w:t xml:space="preserve"> Buku M</w:t>
      </w:r>
      <w:r>
        <w:t>ateri Dasar Hukum Acara Perdata.</w:t>
      </w:r>
      <w:r w:rsidRPr="00F90F78">
        <w:t xml:space="preserve"> Bandung</w:t>
      </w:r>
      <w:r>
        <w:t>:</w:t>
      </w:r>
      <w:r w:rsidRPr="00F90F78">
        <w:t xml:space="preserve"> Citra Aditya Bakti</w:t>
      </w:r>
      <w:r>
        <w:t>.</w:t>
      </w:r>
      <w:r w:rsidRPr="00F90F78">
        <w:t xml:space="preserve"> 2004. Hal. 83</w:t>
      </w:r>
    </w:p>
  </w:footnote>
  <w:footnote w:id="5">
    <w:p w:rsidR="00F90F78" w:rsidRDefault="00F90F78" w:rsidP="00F90F78">
      <w:pPr>
        <w:pStyle w:val="FootnoteText"/>
        <w:ind w:firstLine="720"/>
      </w:pPr>
      <w:r>
        <w:rPr>
          <w:rStyle w:val="FootnoteReference"/>
        </w:rPr>
        <w:footnoteRef/>
      </w:r>
      <w:r>
        <w:t xml:space="preserve"> </w:t>
      </w:r>
      <w:r w:rsidRPr="00F90F78">
        <w:t>Subekti Dan R Tjitrosudibio, Kitab Undang- Undang Hukum Pe</w:t>
      </w:r>
      <w:r>
        <w:t xml:space="preserve">rdata. Jakarta: Pradnya Pramita. </w:t>
      </w:r>
      <w:r w:rsidRPr="00F90F78">
        <w:t>2008</w:t>
      </w:r>
      <w:r>
        <w:t>. Hal 76.</w:t>
      </w:r>
    </w:p>
  </w:footnote>
  <w:footnote w:id="6">
    <w:p w:rsidR="0067327A" w:rsidRDefault="0067327A" w:rsidP="0067327A">
      <w:pPr>
        <w:pStyle w:val="FootnoteText"/>
        <w:ind w:firstLine="720"/>
      </w:pPr>
      <w:r>
        <w:rPr>
          <w:rStyle w:val="FootnoteReference"/>
        </w:rPr>
        <w:footnoteRef/>
      </w:r>
      <w:r>
        <w:t xml:space="preserve"> Sudikno Mertokusumo.</w:t>
      </w:r>
      <w:r w:rsidRPr="0067327A">
        <w:t xml:space="preserve"> Hu</w:t>
      </w:r>
      <w:r>
        <w:t>kum Acara Perdata Indonesia. Yogyakarta: Liberty. 1998. Hal</w:t>
      </w:r>
      <w:r w:rsidRPr="0067327A">
        <w:t xml:space="preserve">. 155.  </w:t>
      </w:r>
    </w:p>
  </w:footnote>
  <w:footnote w:id="7">
    <w:p w:rsidR="0067327A" w:rsidRDefault="0067327A" w:rsidP="0067327A">
      <w:pPr>
        <w:pStyle w:val="FootnoteText"/>
        <w:ind w:firstLine="720"/>
      </w:pPr>
      <w:r>
        <w:rPr>
          <w:rStyle w:val="FootnoteReference"/>
        </w:rPr>
        <w:footnoteRef/>
      </w:r>
      <w:r>
        <w:t xml:space="preserve"> Elfrida, Gultom R. Hukum Acara Perdata Edisi 2. Jakarta: Media Wacana Media. 2017. Hal. 96.</w:t>
      </w:r>
    </w:p>
  </w:footnote>
  <w:footnote w:id="8">
    <w:p w:rsidR="0067327A" w:rsidRDefault="0067327A" w:rsidP="0067327A">
      <w:pPr>
        <w:pStyle w:val="FootnoteText"/>
        <w:ind w:firstLine="720"/>
      </w:pPr>
      <w:r>
        <w:rPr>
          <w:rStyle w:val="FootnoteReference"/>
        </w:rPr>
        <w:footnoteRef/>
      </w:r>
      <w:r>
        <w:t xml:space="preserve"> Sudikno Mertokusomo. Op cit. Hal</w:t>
      </w:r>
      <w:r w:rsidRPr="0067327A">
        <w:t xml:space="preserve">. 788.  </w:t>
      </w:r>
    </w:p>
  </w:footnote>
  <w:footnote w:id="9">
    <w:p w:rsidR="00E01C62" w:rsidRDefault="00E01C62" w:rsidP="00E01C62">
      <w:pPr>
        <w:pStyle w:val="FootnoteText"/>
        <w:ind w:firstLine="720"/>
      </w:pPr>
      <w:r>
        <w:rPr>
          <w:rStyle w:val="FootnoteReference"/>
        </w:rPr>
        <w:footnoteRef/>
      </w:r>
      <w:r>
        <w:t xml:space="preserve"> </w:t>
      </w:r>
      <w:r w:rsidRPr="00E01C62">
        <w:t xml:space="preserve">Yulianti Muhidin. Hakim Pengadilan Negeri Sungguminasa. Wawancara. Sungguminasa. 03 Juni 2021.  </w:t>
      </w:r>
    </w:p>
  </w:footnote>
  <w:footnote w:id="10">
    <w:p w:rsidR="00E01C62" w:rsidRDefault="00E01C62" w:rsidP="00E01C62">
      <w:pPr>
        <w:pStyle w:val="FootnoteText"/>
        <w:ind w:firstLine="720"/>
      </w:pPr>
      <w:r>
        <w:rPr>
          <w:rStyle w:val="FootnoteReference"/>
        </w:rPr>
        <w:footnoteRef/>
      </w:r>
      <w:r>
        <w:t xml:space="preserve"> Muhammad Abdul Kadir. Hukum Acara Perdata Indonesia. Bandung: Citra Ditya Bakti. 2012. Hal. 158.</w:t>
      </w:r>
    </w:p>
  </w:footnote>
  <w:footnote w:id="11">
    <w:p w:rsidR="00E01C62" w:rsidRDefault="00E01C62" w:rsidP="00E01C62">
      <w:pPr>
        <w:pStyle w:val="FootnoteText"/>
        <w:ind w:firstLine="720"/>
      </w:pPr>
      <w:r>
        <w:rPr>
          <w:rStyle w:val="FootnoteReference"/>
        </w:rPr>
        <w:footnoteRef/>
      </w:r>
      <w:r>
        <w:t xml:space="preserve"> </w:t>
      </w:r>
      <w:r w:rsidRPr="00E01C62">
        <w:t>Yulianti Muhidin SH. Hakim Pengadilan Negeri Sungguminasa.  Wawancara. Sungguminasa 3 Juni 2021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F1" w:rsidRPr="00FA2A80" w:rsidRDefault="00FA2A80" w:rsidP="00FA2A80">
    <w:pPr>
      <w:pStyle w:val="Header"/>
      <w:tabs>
        <w:tab w:val="clear" w:pos="4680"/>
        <w:tab w:val="clear" w:pos="9360"/>
      </w:tabs>
      <w:rPr>
        <w:rFonts w:asciiTheme="majorHAnsi" w:hAnsiTheme="majorHAnsi"/>
        <w:i/>
        <w:sz w:val="20"/>
        <w:szCs w:val="20"/>
      </w:rPr>
    </w:pPr>
    <w:r w:rsidRPr="00725C44">
      <w:rPr>
        <w:rFonts w:asciiTheme="majorHAnsi" w:hAnsiTheme="majorHAnsi" w:cs="Cambria"/>
        <w:i/>
        <w:noProof/>
        <w:color w:val="FF0000"/>
        <w:sz w:val="20"/>
        <w:szCs w:val="20"/>
      </w:rPr>
      <mc:AlternateContent>
        <mc:Choice Requires="wps">
          <w:drawing>
            <wp:anchor distT="0" distB="0" distL="114300" distR="114300" simplePos="0" relativeHeight="251677696" behindDoc="1" locked="0" layoutInCell="1" allowOverlap="1" wp14:anchorId="0FC151B5" wp14:editId="06685118">
              <wp:simplePos x="0" y="0"/>
              <wp:positionH relativeFrom="margin">
                <wp:posOffset>-5080</wp:posOffset>
              </wp:positionH>
              <wp:positionV relativeFrom="margin">
                <wp:posOffset>-145415</wp:posOffset>
              </wp:positionV>
              <wp:extent cx="57594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5EA9B9" id="Straight Connector 7" o:spid="_x0000_s1026" style="position:absolute;z-index:-2516387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" strokecolor="#c00000">
              <w10:wrap anchorx="margin" anchory="margin"/>
            </v:line>
          </w:pict>
        </mc:Fallback>
      </mc:AlternateContent>
    </w:r>
    <w:r w:rsidR="00321ABD">
      <w:rPr>
        <w:rFonts w:asciiTheme="majorHAnsi" w:hAnsiTheme="majorHAnsi"/>
        <w:i/>
        <w:color w:val="FF0000"/>
        <w:sz w:val="20"/>
        <w:szCs w:val="20"/>
      </w:rPr>
      <w:t>Qawanin</w:t>
    </w:r>
    <w:r w:rsidRPr="00725C44">
      <w:rPr>
        <w:rFonts w:asciiTheme="majorHAnsi" w:hAnsiTheme="majorHAnsi"/>
        <w:i/>
        <w:color w:val="FF0000"/>
        <w:sz w:val="20"/>
        <w:szCs w:val="20"/>
      </w:rPr>
      <w:t xml:space="preserve">, </w:t>
    </w:r>
    <w:r w:rsidR="00321ABD">
      <w:rPr>
        <w:rFonts w:asciiTheme="majorHAnsi" w:hAnsiTheme="majorHAnsi"/>
        <w:i/>
        <w:sz w:val="20"/>
        <w:szCs w:val="20"/>
      </w:rPr>
      <w:t>Vol. 1</w:t>
    </w:r>
    <w:r w:rsidRPr="00FA2A80">
      <w:rPr>
        <w:rFonts w:asciiTheme="majorHAnsi" w:hAnsiTheme="majorHAnsi"/>
        <w:i/>
        <w:sz w:val="20"/>
        <w:szCs w:val="20"/>
      </w:rPr>
      <w:t xml:space="preserve">, No. </w:t>
    </w:r>
    <w:r w:rsidR="006B01A8">
      <w:rPr>
        <w:rFonts w:asciiTheme="majorHAnsi" w:hAnsiTheme="majorHAnsi"/>
        <w:i/>
        <w:sz w:val="20"/>
        <w:szCs w:val="20"/>
      </w:rPr>
      <w:t>1</w:t>
    </w:r>
    <w:r w:rsidRPr="00FA2A80">
      <w:rPr>
        <w:rFonts w:asciiTheme="majorHAnsi" w:hAnsiTheme="majorHAnsi"/>
        <w:i/>
        <w:sz w:val="20"/>
        <w:szCs w:val="20"/>
      </w:rPr>
      <w:t xml:space="preserve"> (</w:t>
    </w:r>
    <w:r w:rsidR="00321ABD">
      <w:rPr>
        <w:rFonts w:asciiTheme="majorHAnsi" w:hAnsiTheme="majorHAnsi"/>
        <w:i/>
        <w:sz w:val="20"/>
        <w:szCs w:val="20"/>
      </w:rPr>
      <w:t>Agustus</w:t>
    </w:r>
    <w:r w:rsidR="00EE68E3">
      <w:rPr>
        <w:rFonts w:asciiTheme="majorHAnsi" w:hAnsiTheme="majorHAnsi"/>
        <w:i/>
        <w:sz w:val="20"/>
        <w:szCs w:val="20"/>
      </w:rPr>
      <w:t xml:space="preserve"> 2020</w:t>
    </w:r>
    <w:r w:rsidRPr="00FA2A80">
      <w:rPr>
        <w:rFonts w:asciiTheme="majorHAnsi" w:hAnsiTheme="majorHAnsi"/>
        <w:i/>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44" w:rsidRPr="00FA2A80" w:rsidRDefault="00725C44" w:rsidP="00725C44">
    <w:pPr>
      <w:pStyle w:val="Header"/>
      <w:tabs>
        <w:tab w:val="clear" w:pos="4680"/>
        <w:tab w:val="clear" w:pos="9360"/>
      </w:tabs>
      <w:jc w:val="right"/>
      <w:rPr>
        <w:rFonts w:asciiTheme="majorHAnsi" w:hAnsiTheme="majorHAnsi"/>
        <w:i/>
        <w:sz w:val="20"/>
        <w:szCs w:val="20"/>
      </w:rPr>
    </w:pPr>
    <w:r w:rsidRPr="00D15E5D">
      <w:rPr>
        <w:rFonts w:asciiTheme="majorHAnsi" w:hAnsiTheme="majorHAnsi" w:cs="Cambria"/>
        <w:i/>
        <w:noProof/>
        <w:color w:val="C00000"/>
        <w:sz w:val="20"/>
        <w:szCs w:val="20"/>
      </w:rPr>
      <mc:AlternateContent>
        <mc:Choice Requires="wps">
          <w:drawing>
            <wp:anchor distT="0" distB="0" distL="114300" distR="114300" simplePos="0" relativeHeight="251681792" behindDoc="1" locked="0" layoutInCell="1" allowOverlap="1" wp14:anchorId="6D4E914A" wp14:editId="7A28C428">
              <wp:simplePos x="0" y="0"/>
              <wp:positionH relativeFrom="margin">
                <wp:posOffset>-5080</wp:posOffset>
              </wp:positionH>
              <wp:positionV relativeFrom="margin">
                <wp:posOffset>-145415</wp:posOffset>
              </wp:positionV>
              <wp:extent cx="575945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4CF362" id="Straight Connector 11" o:spid="_x0000_s1026" style="position:absolute;z-index:-2516346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h52w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" strokecolor="#c00000">
              <w10:wrap anchorx="margin" anchory="margin"/>
            </v:line>
          </w:pict>
        </mc:Fallback>
      </mc:AlternateContent>
    </w:r>
    <w:r w:rsidRPr="00725C44">
      <w:rPr>
        <w:rFonts w:asciiTheme="majorHAnsi" w:hAnsiTheme="majorHAnsi"/>
        <w:i/>
        <w:color w:val="FF0000"/>
        <w:sz w:val="20"/>
        <w:szCs w:val="20"/>
      </w:rPr>
      <w:t xml:space="preserve"> </w:t>
    </w:r>
    <w:r w:rsidR="00A10255">
      <w:rPr>
        <w:rFonts w:asciiTheme="majorHAnsi" w:hAnsiTheme="majorHAnsi"/>
        <w:i/>
        <w:sz w:val="20"/>
        <w:szCs w:val="20"/>
      </w:rPr>
      <w:t>Judul Jurnal</w:t>
    </w:r>
    <w:r w:rsidRPr="00725C44">
      <w:rPr>
        <w:rFonts w:asciiTheme="majorHAnsi" w:hAnsiTheme="majorHAnsi"/>
        <w:i/>
        <w:sz w:val="20"/>
        <w:szCs w:val="20"/>
      </w:rPr>
      <w:t xml:space="preserve"> </w:t>
    </w:r>
    <w:r w:rsidR="006B01A8">
      <w:rPr>
        <w:rFonts w:asciiTheme="majorHAnsi" w:hAnsiTheme="majorHAnsi"/>
        <w:i/>
        <w:sz w:val="20"/>
        <w:szCs w:val="20"/>
      </w:rPr>
      <w:t>3 suku kata</w:t>
    </w:r>
    <w:r>
      <w:rPr>
        <w:rFonts w:asciiTheme="majorHAnsi" w:hAnsiTheme="majorHAnsi"/>
        <w:i/>
        <w:sz w:val="20"/>
        <w:szCs w:val="20"/>
      </w:rPr>
      <w:t>…</w:t>
    </w:r>
  </w:p>
  <w:p w:rsidR="00FF2EF1" w:rsidRPr="00725C44" w:rsidRDefault="00FF2EF1" w:rsidP="00725C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F1" w:rsidRPr="00D15E5D" w:rsidRDefault="00521C30" w:rsidP="00FF2EF1">
    <w:pPr>
      <w:pStyle w:val="BasicParagraph"/>
      <w:suppressAutoHyphens/>
      <w:rPr>
        <w:rFonts w:ascii="Cambria" w:hAnsi="Cambria" w:cs="Cambria"/>
        <w:b/>
        <w:bCs/>
        <w:color w:val="00B050"/>
        <w:sz w:val="28"/>
        <w:szCs w:val="28"/>
      </w:rPr>
    </w:pPr>
    <w:r>
      <w:rPr>
        <w:rFonts w:ascii="Cambria" w:hAnsi="Cambria" w:cs="Cambria"/>
        <w:b/>
        <w:bCs/>
        <w:color w:val="00B050"/>
        <w:sz w:val="28"/>
        <w:szCs w:val="28"/>
      </w:rPr>
      <w:t>Qawanin</w:t>
    </w:r>
    <w:r w:rsidR="00FF2EF1" w:rsidRPr="00D15E5D">
      <w:rPr>
        <w:rFonts w:ascii="Cambria" w:hAnsi="Cambria" w:cs="Cambria"/>
        <w:b/>
        <w:bCs/>
        <w:color w:val="00B050"/>
        <w:sz w:val="28"/>
        <w:szCs w:val="28"/>
      </w:rPr>
      <w:t xml:space="preserve"> Jurnal</w:t>
    </w:r>
    <w:r>
      <w:rPr>
        <w:rFonts w:ascii="Cambria" w:hAnsi="Cambria" w:cs="Cambria"/>
        <w:b/>
        <w:bCs/>
        <w:color w:val="00B050"/>
        <w:sz w:val="28"/>
        <w:szCs w:val="28"/>
      </w:rPr>
      <w:t xml:space="preserve"> Ilmu</w:t>
    </w:r>
    <w:r w:rsidR="00FF2EF1" w:rsidRPr="00D15E5D">
      <w:rPr>
        <w:rFonts w:ascii="Cambria" w:hAnsi="Cambria" w:cs="Cambria"/>
        <w:b/>
        <w:bCs/>
        <w:color w:val="00B050"/>
        <w:sz w:val="28"/>
        <w:szCs w:val="28"/>
      </w:rPr>
      <w:t xml:space="preserve"> Hukum</w:t>
    </w:r>
  </w:p>
  <w:p w:rsidR="00FF2EF1" w:rsidRPr="00AD52DA" w:rsidRDefault="00521C30" w:rsidP="00FF2EF1">
    <w:pPr>
      <w:pStyle w:val="BasicParagraph"/>
      <w:suppressAutoHyphens/>
      <w:rPr>
        <w:rFonts w:ascii="Cambria" w:hAnsi="Cambria" w:cs="Cambria"/>
      </w:rPr>
    </w:pPr>
    <w:r>
      <w:rPr>
        <w:rFonts w:ascii="Cambria" w:hAnsi="Cambria" w:cs="Cambria"/>
      </w:rPr>
      <w:t>Vol. 1</w:t>
    </w:r>
    <w:r w:rsidR="00FF2EF1">
      <w:rPr>
        <w:rFonts w:ascii="Cambria" w:hAnsi="Cambria" w:cs="Cambria"/>
      </w:rPr>
      <w:t xml:space="preserve">, No. </w:t>
    </w:r>
    <w:r>
      <w:rPr>
        <w:rFonts w:ascii="Cambria" w:hAnsi="Cambria" w:cs="Cambria"/>
      </w:rPr>
      <w:t>1</w:t>
    </w:r>
    <w:r w:rsidR="00FF2EF1">
      <w:rPr>
        <w:rFonts w:ascii="Cambria" w:hAnsi="Cambria" w:cs="Cambria"/>
      </w:rPr>
      <w:t xml:space="preserve"> (</w:t>
    </w:r>
    <w:r w:rsidR="006B31B0">
      <w:rPr>
        <w:rFonts w:ascii="Cambria" w:hAnsi="Cambria" w:cs="Cambria"/>
      </w:rPr>
      <w:t>Juli</w:t>
    </w:r>
    <w:r w:rsidR="00436E32">
      <w:rPr>
        <w:rFonts w:ascii="Cambria" w:hAnsi="Cambria" w:cs="Cambria"/>
      </w:rPr>
      <w:t xml:space="preserve"> 2021</w:t>
    </w:r>
    <w:r w:rsidR="00FF2EF1">
      <w:rPr>
        <w:rFonts w:ascii="Cambria" w:hAnsi="Cambria" w:cs="Cambria"/>
      </w:rPr>
      <w:t xml:space="preserve">) </w:t>
    </w:r>
    <w:r>
      <w:rPr>
        <w:rFonts w:ascii="Cambria" w:hAnsi="Cambria" w:cs="Cambria"/>
      </w:rPr>
      <w:t>1</w:t>
    </w:r>
    <w:r w:rsidR="00D40548">
      <w:rPr>
        <w:rFonts w:ascii="Cambria" w:hAnsi="Cambria" w:cs="Cambria"/>
      </w:rPr>
      <w:t xml:space="preserve"> – </w:t>
    </w:r>
    <w:r w:rsidR="006B31B0">
      <w:rPr>
        <w:rFonts w:ascii="Cambria" w:hAnsi="Cambria" w:cs="Cambria"/>
      </w:rPr>
      <w:t>15</w:t>
    </w:r>
  </w:p>
  <w:p w:rsidR="00FF2EF1" w:rsidRPr="00D40548" w:rsidRDefault="00FF2EF1" w:rsidP="00FF2EF1">
    <w:pPr>
      <w:pStyle w:val="Header"/>
      <w:tabs>
        <w:tab w:val="clear" w:pos="4680"/>
        <w:tab w:val="clear" w:pos="9360"/>
      </w:tabs>
      <w:rPr>
        <w:sz w:val="24"/>
        <w:szCs w:val="24"/>
      </w:rPr>
    </w:pPr>
    <w:r w:rsidRPr="00D40548">
      <w:rPr>
        <w:rFonts w:ascii="Cambria" w:hAnsi="Cambria" w:cs="Cambria"/>
        <w:noProof/>
        <w:sz w:val="24"/>
        <w:szCs w:val="24"/>
      </w:rPr>
      <mc:AlternateContent>
        <mc:Choice Requires="wps">
          <w:drawing>
            <wp:anchor distT="0" distB="0" distL="114300" distR="114300" simplePos="0" relativeHeight="251661312" behindDoc="1" locked="0" layoutInCell="1" allowOverlap="1" wp14:anchorId="03D4B436" wp14:editId="12122668">
              <wp:simplePos x="0" y="0"/>
              <wp:positionH relativeFrom="margin">
                <wp:posOffset>5918</wp:posOffset>
              </wp:positionH>
              <wp:positionV relativeFrom="margin">
                <wp:posOffset>-97790</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3B0B9A" id="Straight Connector 2" o:spid="_x0000_s1026"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" strokecolor="#c00000">
              <w10:wrap anchorx="margin" anchory="margin"/>
            </v:line>
          </w:pict>
        </mc:Fallback>
      </mc:AlternateContent>
    </w:r>
    <w:r w:rsidRPr="00D40548">
      <w:rPr>
        <w:rFonts w:ascii="Cambria" w:hAnsi="Cambria" w:cs="Cambria"/>
        <w:sz w:val="24"/>
        <w:szCs w:val="24"/>
      </w:rPr>
      <w:t xml:space="preserve">e-ISSN: </w:t>
    </w:r>
    <w:r w:rsidR="00521C30">
      <w:rPr>
        <w:rFonts w:ascii="Cambria" w:hAnsi="Cambria" w:cs="Cambria"/>
        <w:sz w:val="24"/>
        <w:szCs w:val="24"/>
      </w:rPr>
      <w:t>xxxx</w:t>
    </w:r>
    <w:r w:rsidR="00D15E5D">
      <w:rPr>
        <w:rFonts w:ascii="Cambria" w:hAnsi="Cambria" w:cs="Cambria"/>
        <w:sz w:val="24"/>
        <w:szCs w:val="24"/>
      </w:rPr>
      <w:t>-</w:t>
    </w:r>
    <w:r w:rsidR="00521C30">
      <w:rPr>
        <w:rFonts w:ascii="Cambria" w:hAnsi="Cambria" w:cs="Cambria"/>
        <w:sz w:val="24"/>
        <w:szCs w:val="24"/>
      </w:rPr>
      <w:t>xxxx</w:t>
    </w:r>
    <w:r w:rsidR="00A13DBF">
      <w:rPr>
        <w:rFonts w:ascii="Cambria" w:hAnsi="Cambria" w:cs="Cambria"/>
        <w:sz w:val="24"/>
        <w:szCs w:val="24"/>
      </w:rPr>
      <w:t xml:space="preserve"> </w:t>
    </w:r>
    <w:r w:rsidRPr="00D40548">
      <w:rPr>
        <w:rFonts w:ascii="Cambria" w:hAnsi="Cambria" w:cs="Cambria"/>
        <w:sz w:val="24"/>
        <w:szCs w:val="24"/>
      </w:rPr>
      <w:t xml:space="preserve">|| p-ISSN: </w:t>
    </w:r>
    <w:r w:rsidR="00521C30">
      <w:rPr>
        <w:rFonts w:ascii="Cambria" w:hAnsi="Cambria" w:cs="Cambria"/>
        <w:sz w:val="24"/>
        <w:szCs w:val="24"/>
      </w:rPr>
      <w:t>xxxx-xxxx</w:t>
    </w:r>
  </w:p>
  <w:p w:rsidR="00FF2EF1" w:rsidRDefault="00D15E5D" w:rsidP="00D15E5D">
    <w:pPr>
      <w:pStyle w:val="Header"/>
      <w:tabs>
        <w:tab w:val="clear" w:pos="4680"/>
        <w:tab w:val="clear" w:pos="9360"/>
        <w:tab w:val="left" w:pos="124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2442"/>
    <w:multiLevelType w:val="hybridMultilevel"/>
    <w:tmpl w:val="85EE6C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C0C95"/>
    <w:multiLevelType w:val="hybridMultilevel"/>
    <w:tmpl w:val="E8663E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142047"/>
    <w:multiLevelType w:val="hybridMultilevel"/>
    <w:tmpl w:val="F7BA23CC"/>
    <w:lvl w:ilvl="0" w:tplc="69E4C6DC">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A6DEA"/>
    <w:multiLevelType w:val="hybridMultilevel"/>
    <w:tmpl w:val="64D6E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C1A25"/>
    <w:multiLevelType w:val="hybridMultilevel"/>
    <w:tmpl w:val="56E4FF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20E1A92"/>
    <w:multiLevelType w:val="hybridMultilevel"/>
    <w:tmpl w:val="10283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76720"/>
    <w:multiLevelType w:val="hybridMultilevel"/>
    <w:tmpl w:val="0044A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46C03"/>
    <w:multiLevelType w:val="hybridMultilevel"/>
    <w:tmpl w:val="17242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384628"/>
    <w:multiLevelType w:val="hybridMultilevel"/>
    <w:tmpl w:val="44FE4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B64E1"/>
    <w:multiLevelType w:val="hybridMultilevel"/>
    <w:tmpl w:val="B75854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64158F"/>
    <w:multiLevelType w:val="hybridMultilevel"/>
    <w:tmpl w:val="9B28C830"/>
    <w:lvl w:ilvl="0" w:tplc="69E4C6DC">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A7C51"/>
    <w:multiLevelType w:val="hybridMultilevel"/>
    <w:tmpl w:val="2B4C5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2F6F9C"/>
    <w:multiLevelType w:val="hybridMultilevel"/>
    <w:tmpl w:val="F9000C34"/>
    <w:lvl w:ilvl="0" w:tplc="60C25796">
      <w:start w:val="1"/>
      <w:numFmt w:val="decimal"/>
      <w:lvlText w:val="%1."/>
      <w:lvlJc w:val="left"/>
      <w:pPr>
        <w:ind w:left="36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3B4F0395"/>
    <w:multiLevelType w:val="hybridMultilevel"/>
    <w:tmpl w:val="1E2022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973DAA"/>
    <w:multiLevelType w:val="hybridMultilevel"/>
    <w:tmpl w:val="E56616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0AE20C3"/>
    <w:multiLevelType w:val="hybridMultilevel"/>
    <w:tmpl w:val="325E8A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36B3179"/>
    <w:multiLevelType w:val="hybridMultilevel"/>
    <w:tmpl w:val="4D68F872"/>
    <w:lvl w:ilvl="0" w:tplc="69E4C6DC">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0D74F8"/>
    <w:multiLevelType w:val="hybridMultilevel"/>
    <w:tmpl w:val="624A1E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2152A6"/>
    <w:multiLevelType w:val="hybridMultilevel"/>
    <w:tmpl w:val="DFF41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F0385"/>
    <w:multiLevelType w:val="hybridMultilevel"/>
    <w:tmpl w:val="5C301E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83D6DE3"/>
    <w:multiLevelType w:val="hybridMultilevel"/>
    <w:tmpl w:val="BCC8E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D7E9B"/>
    <w:multiLevelType w:val="hybridMultilevel"/>
    <w:tmpl w:val="B896D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F311A7"/>
    <w:multiLevelType w:val="hybridMultilevel"/>
    <w:tmpl w:val="E45C4AD2"/>
    <w:lvl w:ilvl="0" w:tplc="5B483F2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BB7CB6"/>
    <w:multiLevelType w:val="hybridMultilevel"/>
    <w:tmpl w:val="29A4C108"/>
    <w:lvl w:ilvl="0" w:tplc="69E4C6DC">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332969"/>
    <w:multiLevelType w:val="hybridMultilevel"/>
    <w:tmpl w:val="D14CF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E91758"/>
    <w:multiLevelType w:val="hybridMultilevel"/>
    <w:tmpl w:val="6D9448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E6D1349"/>
    <w:multiLevelType w:val="hybridMultilevel"/>
    <w:tmpl w:val="498C113E"/>
    <w:lvl w:ilvl="0" w:tplc="B89A7EFE">
      <w:start w:val="1"/>
      <w:numFmt w:val="decimal"/>
      <w:lvlText w:val="%1."/>
      <w:lvlJc w:val="left"/>
      <w:pPr>
        <w:ind w:left="1800" w:hanging="360"/>
      </w:pPr>
      <w:rPr>
        <w:rFonts w:ascii="Arial" w:eastAsia="Arial"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nsid w:val="70A827A3"/>
    <w:multiLevelType w:val="hybridMultilevel"/>
    <w:tmpl w:val="C8EA5AE6"/>
    <w:lvl w:ilvl="0" w:tplc="7DA0C010">
      <w:start w:val="1"/>
      <w:numFmt w:val="decimal"/>
      <w:lvlText w:val="%1."/>
      <w:lvlJc w:val="left"/>
      <w:pPr>
        <w:ind w:left="720" w:hanging="360"/>
      </w:pPr>
      <w:rPr>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B20F68"/>
    <w:multiLevelType w:val="hybridMultilevel"/>
    <w:tmpl w:val="7F00852A"/>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071836"/>
    <w:multiLevelType w:val="hybridMultilevel"/>
    <w:tmpl w:val="F2D6C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C92E77"/>
    <w:multiLevelType w:val="hybridMultilevel"/>
    <w:tmpl w:val="195056AE"/>
    <w:lvl w:ilvl="0" w:tplc="894C97EE">
      <w:start w:val="1"/>
      <w:numFmt w:val="decimal"/>
      <w:lvlText w:val="%1."/>
      <w:lvlJc w:val="left"/>
      <w:pPr>
        <w:ind w:left="1182" w:hanging="360"/>
      </w:pPr>
      <w:rPr>
        <w:rFonts w:hint="default"/>
      </w:rPr>
    </w:lvl>
    <w:lvl w:ilvl="1" w:tplc="04210019" w:tentative="1">
      <w:start w:val="1"/>
      <w:numFmt w:val="lowerLetter"/>
      <w:lvlText w:val="%2."/>
      <w:lvlJc w:val="left"/>
      <w:pPr>
        <w:ind w:left="1902" w:hanging="360"/>
      </w:pPr>
    </w:lvl>
    <w:lvl w:ilvl="2" w:tplc="0421001B" w:tentative="1">
      <w:start w:val="1"/>
      <w:numFmt w:val="lowerRoman"/>
      <w:lvlText w:val="%3."/>
      <w:lvlJc w:val="right"/>
      <w:pPr>
        <w:ind w:left="2622" w:hanging="180"/>
      </w:pPr>
    </w:lvl>
    <w:lvl w:ilvl="3" w:tplc="0421000F" w:tentative="1">
      <w:start w:val="1"/>
      <w:numFmt w:val="decimal"/>
      <w:lvlText w:val="%4."/>
      <w:lvlJc w:val="left"/>
      <w:pPr>
        <w:ind w:left="3342" w:hanging="360"/>
      </w:pPr>
    </w:lvl>
    <w:lvl w:ilvl="4" w:tplc="04210019" w:tentative="1">
      <w:start w:val="1"/>
      <w:numFmt w:val="lowerLetter"/>
      <w:lvlText w:val="%5."/>
      <w:lvlJc w:val="left"/>
      <w:pPr>
        <w:ind w:left="4062" w:hanging="360"/>
      </w:pPr>
    </w:lvl>
    <w:lvl w:ilvl="5" w:tplc="0421001B" w:tentative="1">
      <w:start w:val="1"/>
      <w:numFmt w:val="lowerRoman"/>
      <w:lvlText w:val="%6."/>
      <w:lvlJc w:val="right"/>
      <w:pPr>
        <w:ind w:left="4782" w:hanging="180"/>
      </w:pPr>
    </w:lvl>
    <w:lvl w:ilvl="6" w:tplc="0421000F" w:tentative="1">
      <w:start w:val="1"/>
      <w:numFmt w:val="decimal"/>
      <w:lvlText w:val="%7."/>
      <w:lvlJc w:val="left"/>
      <w:pPr>
        <w:ind w:left="5502" w:hanging="360"/>
      </w:pPr>
    </w:lvl>
    <w:lvl w:ilvl="7" w:tplc="04210019" w:tentative="1">
      <w:start w:val="1"/>
      <w:numFmt w:val="lowerLetter"/>
      <w:lvlText w:val="%8."/>
      <w:lvlJc w:val="left"/>
      <w:pPr>
        <w:ind w:left="6222" w:hanging="360"/>
      </w:pPr>
    </w:lvl>
    <w:lvl w:ilvl="8" w:tplc="0421001B" w:tentative="1">
      <w:start w:val="1"/>
      <w:numFmt w:val="lowerRoman"/>
      <w:lvlText w:val="%9."/>
      <w:lvlJc w:val="right"/>
      <w:pPr>
        <w:ind w:left="6942" w:hanging="180"/>
      </w:pPr>
    </w:lvl>
  </w:abstractNum>
  <w:abstractNum w:abstractNumId="32">
    <w:nsid w:val="7AB66698"/>
    <w:multiLevelType w:val="hybridMultilevel"/>
    <w:tmpl w:val="02FCCB8A"/>
    <w:lvl w:ilvl="0" w:tplc="04090017">
      <w:start w:val="1"/>
      <w:numFmt w:val="lowerLetter"/>
      <w:lvlText w:val="%1)"/>
      <w:lvlJc w:val="left"/>
      <w:pPr>
        <w:ind w:left="1440" w:hanging="360"/>
      </w:pPr>
    </w:lvl>
    <w:lvl w:ilvl="1" w:tplc="E6C0D696">
      <w:start w:val="1"/>
      <w:numFmt w:val="decimal"/>
      <w:lvlText w:val="%2."/>
      <w:lvlJc w:val="left"/>
      <w:pPr>
        <w:ind w:left="2175" w:hanging="3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F703B68"/>
    <w:multiLevelType w:val="hybridMultilevel"/>
    <w:tmpl w:val="6FE648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2"/>
  </w:num>
  <w:num w:numId="4">
    <w:abstractNumId w:val="29"/>
  </w:num>
  <w:num w:numId="5">
    <w:abstractNumId w:val="8"/>
  </w:num>
  <w:num w:numId="6">
    <w:abstractNumId w:val="13"/>
  </w:num>
  <w:num w:numId="7">
    <w:abstractNumId w:val="16"/>
  </w:num>
  <w:num w:numId="8">
    <w:abstractNumId w:val="21"/>
  </w:num>
  <w:num w:numId="9">
    <w:abstractNumId w:val="11"/>
  </w:num>
  <w:num w:numId="10">
    <w:abstractNumId w:val="17"/>
  </w:num>
  <w:num w:numId="11">
    <w:abstractNumId w:val="24"/>
  </w:num>
  <w:num w:numId="12">
    <w:abstractNumId w:val="3"/>
  </w:num>
  <w:num w:numId="13">
    <w:abstractNumId w:val="4"/>
  </w:num>
  <w:num w:numId="14">
    <w:abstractNumId w:val="12"/>
  </w:num>
  <w:num w:numId="15">
    <w:abstractNumId w:val="18"/>
  </w:num>
  <w:num w:numId="16">
    <w:abstractNumId w:val="6"/>
  </w:num>
  <w:num w:numId="17">
    <w:abstractNumId w:val="30"/>
  </w:num>
  <w:num w:numId="18">
    <w:abstractNumId w:val="14"/>
  </w:num>
  <w:num w:numId="19">
    <w:abstractNumId w:val="31"/>
  </w:num>
  <w:num w:numId="20">
    <w:abstractNumId w:val="25"/>
  </w:num>
  <w:num w:numId="21">
    <w:abstractNumId w:val="28"/>
  </w:num>
  <w:num w:numId="22">
    <w:abstractNumId w:val="2"/>
  </w:num>
  <w:num w:numId="23">
    <w:abstractNumId w:val="15"/>
  </w:num>
  <w:num w:numId="24">
    <w:abstractNumId w:val="20"/>
  </w:num>
  <w:num w:numId="25">
    <w:abstractNumId w:val="0"/>
  </w:num>
  <w:num w:numId="26">
    <w:abstractNumId w:val="10"/>
  </w:num>
  <w:num w:numId="27">
    <w:abstractNumId w:val="9"/>
  </w:num>
  <w:num w:numId="28">
    <w:abstractNumId w:val="5"/>
  </w:num>
  <w:num w:numId="29">
    <w:abstractNumId w:val="26"/>
  </w:num>
  <w:num w:numId="30">
    <w:abstractNumId w:val="22"/>
  </w:num>
  <w:num w:numId="31">
    <w:abstractNumId w:val="19"/>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06069"/>
    <w:rsid w:val="00011DA5"/>
    <w:rsid w:val="00011FA9"/>
    <w:rsid w:val="00014769"/>
    <w:rsid w:val="000157BB"/>
    <w:rsid w:val="000168DB"/>
    <w:rsid w:val="000214EF"/>
    <w:rsid w:val="00023105"/>
    <w:rsid w:val="00030000"/>
    <w:rsid w:val="000300CD"/>
    <w:rsid w:val="0003105C"/>
    <w:rsid w:val="0003554A"/>
    <w:rsid w:val="000376B4"/>
    <w:rsid w:val="00040923"/>
    <w:rsid w:val="00043D68"/>
    <w:rsid w:val="0005575B"/>
    <w:rsid w:val="00073C15"/>
    <w:rsid w:val="00077DC9"/>
    <w:rsid w:val="00083356"/>
    <w:rsid w:val="00095111"/>
    <w:rsid w:val="000A1586"/>
    <w:rsid w:val="000A20C2"/>
    <w:rsid w:val="000A2458"/>
    <w:rsid w:val="000A3CD9"/>
    <w:rsid w:val="000A598C"/>
    <w:rsid w:val="000A78FC"/>
    <w:rsid w:val="000A7CC0"/>
    <w:rsid w:val="000B126A"/>
    <w:rsid w:val="000B136C"/>
    <w:rsid w:val="000B1B90"/>
    <w:rsid w:val="000B5C5D"/>
    <w:rsid w:val="000C0EE8"/>
    <w:rsid w:val="000C25F6"/>
    <w:rsid w:val="000C339C"/>
    <w:rsid w:val="000C41D2"/>
    <w:rsid w:val="000C50DC"/>
    <w:rsid w:val="000C5E30"/>
    <w:rsid w:val="000D0D25"/>
    <w:rsid w:val="000D402E"/>
    <w:rsid w:val="000E3BA4"/>
    <w:rsid w:val="000E61BA"/>
    <w:rsid w:val="000F1F8D"/>
    <w:rsid w:val="00100D3E"/>
    <w:rsid w:val="00103338"/>
    <w:rsid w:val="001232A2"/>
    <w:rsid w:val="00124305"/>
    <w:rsid w:val="00124D13"/>
    <w:rsid w:val="00125496"/>
    <w:rsid w:val="001269A9"/>
    <w:rsid w:val="001301ED"/>
    <w:rsid w:val="00133AA1"/>
    <w:rsid w:val="0013547B"/>
    <w:rsid w:val="00136BF2"/>
    <w:rsid w:val="00142127"/>
    <w:rsid w:val="00142537"/>
    <w:rsid w:val="00143272"/>
    <w:rsid w:val="00152292"/>
    <w:rsid w:val="0015712A"/>
    <w:rsid w:val="001600BA"/>
    <w:rsid w:val="001677A1"/>
    <w:rsid w:val="00173090"/>
    <w:rsid w:val="00174C81"/>
    <w:rsid w:val="0017582D"/>
    <w:rsid w:val="0017617B"/>
    <w:rsid w:val="001806A5"/>
    <w:rsid w:val="001809E8"/>
    <w:rsid w:val="001840D6"/>
    <w:rsid w:val="001A18B9"/>
    <w:rsid w:val="001A7A3C"/>
    <w:rsid w:val="001B745B"/>
    <w:rsid w:val="001C4B12"/>
    <w:rsid w:val="001C668F"/>
    <w:rsid w:val="001D352A"/>
    <w:rsid w:val="001D437D"/>
    <w:rsid w:val="001D5315"/>
    <w:rsid w:val="001E0C00"/>
    <w:rsid w:val="001E292D"/>
    <w:rsid w:val="001E35EB"/>
    <w:rsid w:val="001E3C07"/>
    <w:rsid w:val="001E4025"/>
    <w:rsid w:val="001F1B85"/>
    <w:rsid w:val="001F575C"/>
    <w:rsid w:val="001F6440"/>
    <w:rsid w:val="002003D2"/>
    <w:rsid w:val="002017EC"/>
    <w:rsid w:val="0020259F"/>
    <w:rsid w:val="0020659E"/>
    <w:rsid w:val="002068B3"/>
    <w:rsid w:val="00211497"/>
    <w:rsid w:val="00213F82"/>
    <w:rsid w:val="00215FB4"/>
    <w:rsid w:val="00216004"/>
    <w:rsid w:val="00216AD3"/>
    <w:rsid w:val="00221B0C"/>
    <w:rsid w:val="00221C27"/>
    <w:rsid w:val="00225FF0"/>
    <w:rsid w:val="00226EBE"/>
    <w:rsid w:val="00232109"/>
    <w:rsid w:val="00241438"/>
    <w:rsid w:val="00247824"/>
    <w:rsid w:val="00261821"/>
    <w:rsid w:val="00264059"/>
    <w:rsid w:val="00267A89"/>
    <w:rsid w:val="00270650"/>
    <w:rsid w:val="002715D6"/>
    <w:rsid w:val="00277A21"/>
    <w:rsid w:val="00280763"/>
    <w:rsid w:val="002830CC"/>
    <w:rsid w:val="00286128"/>
    <w:rsid w:val="00293D19"/>
    <w:rsid w:val="002953D9"/>
    <w:rsid w:val="002A03BD"/>
    <w:rsid w:val="002A58C7"/>
    <w:rsid w:val="002B2019"/>
    <w:rsid w:val="002B764D"/>
    <w:rsid w:val="002C2340"/>
    <w:rsid w:val="002D2912"/>
    <w:rsid w:val="002D5300"/>
    <w:rsid w:val="002D6F4D"/>
    <w:rsid w:val="002D7F15"/>
    <w:rsid w:val="002E4D0C"/>
    <w:rsid w:val="002E506F"/>
    <w:rsid w:val="002E575A"/>
    <w:rsid w:val="002E5B70"/>
    <w:rsid w:val="002F4439"/>
    <w:rsid w:val="002F48F7"/>
    <w:rsid w:val="00301F38"/>
    <w:rsid w:val="003065E3"/>
    <w:rsid w:val="0031006E"/>
    <w:rsid w:val="00313459"/>
    <w:rsid w:val="0031368A"/>
    <w:rsid w:val="00317418"/>
    <w:rsid w:val="00321ABD"/>
    <w:rsid w:val="003241E2"/>
    <w:rsid w:val="00330296"/>
    <w:rsid w:val="00330D6E"/>
    <w:rsid w:val="00331AE0"/>
    <w:rsid w:val="00347D13"/>
    <w:rsid w:val="00353C5D"/>
    <w:rsid w:val="00355C65"/>
    <w:rsid w:val="00356143"/>
    <w:rsid w:val="00367E12"/>
    <w:rsid w:val="0039016A"/>
    <w:rsid w:val="00394849"/>
    <w:rsid w:val="00397C59"/>
    <w:rsid w:val="003A2BDB"/>
    <w:rsid w:val="003B603D"/>
    <w:rsid w:val="003B6931"/>
    <w:rsid w:val="003B6A6F"/>
    <w:rsid w:val="003C0940"/>
    <w:rsid w:val="003C4CCE"/>
    <w:rsid w:val="003C57F6"/>
    <w:rsid w:val="003D5E17"/>
    <w:rsid w:val="003D6C2F"/>
    <w:rsid w:val="003E2664"/>
    <w:rsid w:val="003E550D"/>
    <w:rsid w:val="003E592E"/>
    <w:rsid w:val="003F5A3E"/>
    <w:rsid w:val="00400F9E"/>
    <w:rsid w:val="00404AD9"/>
    <w:rsid w:val="004058CC"/>
    <w:rsid w:val="004115EC"/>
    <w:rsid w:val="00411826"/>
    <w:rsid w:val="00412D54"/>
    <w:rsid w:val="004201A9"/>
    <w:rsid w:val="00425E4D"/>
    <w:rsid w:val="004322F0"/>
    <w:rsid w:val="00432898"/>
    <w:rsid w:val="00436E32"/>
    <w:rsid w:val="00441025"/>
    <w:rsid w:val="00442364"/>
    <w:rsid w:val="004449E0"/>
    <w:rsid w:val="00450075"/>
    <w:rsid w:val="004648AE"/>
    <w:rsid w:val="00476902"/>
    <w:rsid w:val="004823A9"/>
    <w:rsid w:val="004950A1"/>
    <w:rsid w:val="00495C34"/>
    <w:rsid w:val="004A355D"/>
    <w:rsid w:val="004A553A"/>
    <w:rsid w:val="004B029B"/>
    <w:rsid w:val="004C2C05"/>
    <w:rsid w:val="004C3ECB"/>
    <w:rsid w:val="004C5584"/>
    <w:rsid w:val="004C683C"/>
    <w:rsid w:val="004D14E5"/>
    <w:rsid w:val="004D2376"/>
    <w:rsid w:val="004D3789"/>
    <w:rsid w:val="004D43A2"/>
    <w:rsid w:val="004D5999"/>
    <w:rsid w:val="004D619A"/>
    <w:rsid w:val="004D6932"/>
    <w:rsid w:val="004E0A92"/>
    <w:rsid w:val="004E1942"/>
    <w:rsid w:val="004E2117"/>
    <w:rsid w:val="004E389C"/>
    <w:rsid w:val="004E4A22"/>
    <w:rsid w:val="004E7F80"/>
    <w:rsid w:val="004F54C7"/>
    <w:rsid w:val="004F703D"/>
    <w:rsid w:val="00505019"/>
    <w:rsid w:val="005160CE"/>
    <w:rsid w:val="00521C30"/>
    <w:rsid w:val="00532231"/>
    <w:rsid w:val="00543070"/>
    <w:rsid w:val="005430DB"/>
    <w:rsid w:val="00543C96"/>
    <w:rsid w:val="00546569"/>
    <w:rsid w:val="00552C56"/>
    <w:rsid w:val="005536AB"/>
    <w:rsid w:val="00555DE7"/>
    <w:rsid w:val="00561BB4"/>
    <w:rsid w:val="005631F0"/>
    <w:rsid w:val="00570177"/>
    <w:rsid w:val="0057105E"/>
    <w:rsid w:val="005715E0"/>
    <w:rsid w:val="0057366D"/>
    <w:rsid w:val="00573A3E"/>
    <w:rsid w:val="005744E4"/>
    <w:rsid w:val="0057591A"/>
    <w:rsid w:val="00584093"/>
    <w:rsid w:val="00590802"/>
    <w:rsid w:val="005A2961"/>
    <w:rsid w:val="005A3D4D"/>
    <w:rsid w:val="005A57AF"/>
    <w:rsid w:val="005A6C77"/>
    <w:rsid w:val="005B2138"/>
    <w:rsid w:val="005B2C26"/>
    <w:rsid w:val="005C0491"/>
    <w:rsid w:val="005C431C"/>
    <w:rsid w:val="005D2564"/>
    <w:rsid w:val="005D3035"/>
    <w:rsid w:val="005D6A1F"/>
    <w:rsid w:val="005E1C2F"/>
    <w:rsid w:val="005E4E5E"/>
    <w:rsid w:val="005F31F2"/>
    <w:rsid w:val="005F4A39"/>
    <w:rsid w:val="005F710D"/>
    <w:rsid w:val="005F78D0"/>
    <w:rsid w:val="0060574D"/>
    <w:rsid w:val="00607119"/>
    <w:rsid w:val="0060756B"/>
    <w:rsid w:val="00611CEC"/>
    <w:rsid w:val="006169A3"/>
    <w:rsid w:val="00622338"/>
    <w:rsid w:val="0062579B"/>
    <w:rsid w:val="006469D6"/>
    <w:rsid w:val="00651326"/>
    <w:rsid w:val="00651366"/>
    <w:rsid w:val="00654B8E"/>
    <w:rsid w:val="00656795"/>
    <w:rsid w:val="00662024"/>
    <w:rsid w:val="00664B26"/>
    <w:rsid w:val="00664CF7"/>
    <w:rsid w:val="006664C4"/>
    <w:rsid w:val="00671010"/>
    <w:rsid w:val="00672A3F"/>
    <w:rsid w:val="0067327A"/>
    <w:rsid w:val="00677D7D"/>
    <w:rsid w:val="006848C5"/>
    <w:rsid w:val="00685893"/>
    <w:rsid w:val="00690167"/>
    <w:rsid w:val="00691A97"/>
    <w:rsid w:val="006A2523"/>
    <w:rsid w:val="006A6151"/>
    <w:rsid w:val="006B01A8"/>
    <w:rsid w:val="006B091E"/>
    <w:rsid w:val="006B31B0"/>
    <w:rsid w:val="006C226D"/>
    <w:rsid w:val="006C53DC"/>
    <w:rsid w:val="006D46C1"/>
    <w:rsid w:val="006E21A0"/>
    <w:rsid w:val="006E33D3"/>
    <w:rsid w:val="006E4094"/>
    <w:rsid w:val="006E4B08"/>
    <w:rsid w:val="006F5BCB"/>
    <w:rsid w:val="006F6198"/>
    <w:rsid w:val="006F6F05"/>
    <w:rsid w:val="00712B6E"/>
    <w:rsid w:val="007215BA"/>
    <w:rsid w:val="00725C44"/>
    <w:rsid w:val="0073540A"/>
    <w:rsid w:val="00740A31"/>
    <w:rsid w:val="00743CD3"/>
    <w:rsid w:val="007476A8"/>
    <w:rsid w:val="00750B8E"/>
    <w:rsid w:val="00754723"/>
    <w:rsid w:val="00754972"/>
    <w:rsid w:val="007555E7"/>
    <w:rsid w:val="00756019"/>
    <w:rsid w:val="0076155F"/>
    <w:rsid w:val="007637CB"/>
    <w:rsid w:val="007727E7"/>
    <w:rsid w:val="007729F5"/>
    <w:rsid w:val="00776C30"/>
    <w:rsid w:val="00791E99"/>
    <w:rsid w:val="007926C9"/>
    <w:rsid w:val="007945E6"/>
    <w:rsid w:val="0079544C"/>
    <w:rsid w:val="007A1081"/>
    <w:rsid w:val="007A1FE0"/>
    <w:rsid w:val="007A7D10"/>
    <w:rsid w:val="007B1176"/>
    <w:rsid w:val="007C4E60"/>
    <w:rsid w:val="007C5083"/>
    <w:rsid w:val="007D3B88"/>
    <w:rsid w:val="007E4672"/>
    <w:rsid w:val="007F3E8A"/>
    <w:rsid w:val="007F5C74"/>
    <w:rsid w:val="00811674"/>
    <w:rsid w:val="00811BE3"/>
    <w:rsid w:val="008129A1"/>
    <w:rsid w:val="008129AE"/>
    <w:rsid w:val="00827C20"/>
    <w:rsid w:val="00834A95"/>
    <w:rsid w:val="008363F5"/>
    <w:rsid w:val="00837582"/>
    <w:rsid w:val="00840BA8"/>
    <w:rsid w:val="008414BC"/>
    <w:rsid w:val="008435C1"/>
    <w:rsid w:val="00846632"/>
    <w:rsid w:val="00851F1D"/>
    <w:rsid w:val="0085285E"/>
    <w:rsid w:val="00854DAC"/>
    <w:rsid w:val="00854F69"/>
    <w:rsid w:val="00862EC4"/>
    <w:rsid w:val="008633F4"/>
    <w:rsid w:val="00873802"/>
    <w:rsid w:val="00873824"/>
    <w:rsid w:val="00891E7B"/>
    <w:rsid w:val="0089231A"/>
    <w:rsid w:val="00895F64"/>
    <w:rsid w:val="00897C3E"/>
    <w:rsid w:val="008A5248"/>
    <w:rsid w:val="008B0745"/>
    <w:rsid w:val="008B1133"/>
    <w:rsid w:val="008B130B"/>
    <w:rsid w:val="008B3D76"/>
    <w:rsid w:val="008B7107"/>
    <w:rsid w:val="008C1AFE"/>
    <w:rsid w:val="008C7333"/>
    <w:rsid w:val="008C7552"/>
    <w:rsid w:val="008D141C"/>
    <w:rsid w:val="008D6588"/>
    <w:rsid w:val="008E1225"/>
    <w:rsid w:val="008E187A"/>
    <w:rsid w:val="008E679A"/>
    <w:rsid w:val="008F2884"/>
    <w:rsid w:val="008F6D51"/>
    <w:rsid w:val="009005B1"/>
    <w:rsid w:val="00900B8E"/>
    <w:rsid w:val="00901726"/>
    <w:rsid w:val="009026F0"/>
    <w:rsid w:val="00910216"/>
    <w:rsid w:val="00910C7B"/>
    <w:rsid w:val="00911952"/>
    <w:rsid w:val="0091501A"/>
    <w:rsid w:val="009205AE"/>
    <w:rsid w:val="009267C5"/>
    <w:rsid w:val="0093287A"/>
    <w:rsid w:val="009357CF"/>
    <w:rsid w:val="00937478"/>
    <w:rsid w:val="00941BD2"/>
    <w:rsid w:val="00945009"/>
    <w:rsid w:val="009508E8"/>
    <w:rsid w:val="0095679C"/>
    <w:rsid w:val="0096024B"/>
    <w:rsid w:val="00964ED8"/>
    <w:rsid w:val="00965CE9"/>
    <w:rsid w:val="009729A7"/>
    <w:rsid w:val="00973A6D"/>
    <w:rsid w:val="009765D6"/>
    <w:rsid w:val="00987CBE"/>
    <w:rsid w:val="00987EEE"/>
    <w:rsid w:val="00990DDC"/>
    <w:rsid w:val="00993776"/>
    <w:rsid w:val="009959A0"/>
    <w:rsid w:val="00996747"/>
    <w:rsid w:val="009978E4"/>
    <w:rsid w:val="009A71C9"/>
    <w:rsid w:val="009B13E0"/>
    <w:rsid w:val="009B1438"/>
    <w:rsid w:val="009B27FF"/>
    <w:rsid w:val="009C1467"/>
    <w:rsid w:val="009C708D"/>
    <w:rsid w:val="009D0A28"/>
    <w:rsid w:val="009D0D11"/>
    <w:rsid w:val="009D0D55"/>
    <w:rsid w:val="009D3794"/>
    <w:rsid w:val="009E116B"/>
    <w:rsid w:val="009E2B93"/>
    <w:rsid w:val="009E3D46"/>
    <w:rsid w:val="009E6F7C"/>
    <w:rsid w:val="009F00DC"/>
    <w:rsid w:val="009F1C9F"/>
    <w:rsid w:val="009F1EA6"/>
    <w:rsid w:val="009F23D4"/>
    <w:rsid w:val="00A0316A"/>
    <w:rsid w:val="00A0470A"/>
    <w:rsid w:val="00A10255"/>
    <w:rsid w:val="00A12E14"/>
    <w:rsid w:val="00A13DBF"/>
    <w:rsid w:val="00A1413C"/>
    <w:rsid w:val="00A1565A"/>
    <w:rsid w:val="00A156D3"/>
    <w:rsid w:val="00A225C4"/>
    <w:rsid w:val="00A25542"/>
    <w:rsid w:val="00A26C4B"/>
    <w:rsid w:val="00A335F9"/>
    <w:rsid w:val="00A3556C"/>
    <w:rsid w:val="00A37E2A"/>
    <w:rsid w:val="00A43915"/>
    <w:rsid w:val="00A43F49"/>
    <w:rsid w:val="00A448DB"/>
    <w:rsid w:val="00A45A0A"/>
    <w:rsid w:val="00A45A5E"/>
    <w:rsid w:val="00A50551"/>
    <w:rsid w:val="00A50617"/>
    <w:rsid w:val="00A56B00"/>
    <w:rsid w:val="00A61ABF"/>
    <w:rsid w:val="00A653F0"/>
    <w:rsid w:val="00A66F01"/>
    <w:rsid w:val="00A67928"/>
    <w:rsid w:val="00A71E30"/>
    <w:rsid w:val="00A754E1"/>
    <w:rsid w:val="00A80AC3"/>
    <w:rsid w:val="00A81196"/>
    <w:rsid w:val="00A81D68"/>
    <w:rsid w:val="00A82C63"/>
    <w:rsid w:val="00A93014"/>
    <w:rsid w:val="00A94F60"/>
    <w:rsid w:val="00A96458"/>
    <w:rsid w:val="00AA35E8"/>
    <w:rsid w:val="00AA4AD3"/>
    <w:rsid w:val="00AA7680"/>
    <w:rsid w:val="00AB1A72"/>
    <w:rsid w:val="00AB5C09"/>
    <w:rsid w:val="00AC1C41"/>
    <w:rsid w:val="00AC32FA"/>
    <w:rsid w:val="00AC5100"/>
    <w:rsid w:val="00AC6666"/>
    <w:rsid w:val="00AC79D2"/>
    <w:rsid w:val="00AD52DA"/>
    <w:rsid w:val="00AE2626"/>
    <w:rsid w:val="00AE27D1"/>
    <w:rsid w:val="00AE57E3"/>
    <w:rsid w:val="00B01F71"/>
    <w:rsid w:val="00B029F5"/>
    <w:rsid w:val="00B043EE"/>
    <w:rsid w:val="00B077FF"/>
    <w:rsid w:val="00B10C44"/>
    <w:rsid w:val="00B15625"/>
    <w:rsid w:val="00B157C1"/>
    <w:rsid w:val="00B179EC"/>
    <w:rsid w:val="00B20797"/>
    <w:rsid w:val="00B32EF7"/>
    <w:rsid w:val="00B40C2A"/>
    <w:rsid w:val="00B47E61"/>
    <w:rsid w:val="00B50D93"/>
    <w:rsid w:val="00B5457B"/>
    <w:rsid w:val="00B60D9E"/>
    <w:rsid w:val="00B641CC"/>
    <w:rsid w:val="00B76B7A"/>
    <w:rsid w:val="00B80DFE"/>
    <w:rsid w:val="00B81DF8"/>
    <w:rsid w:val="00B870CC"/>
    <w:rsid w:val="00B9564F"/>
    <w:rsid w:val="00B96460"/>
    <w:rsid w:val="00BA1655"/>
    <w:rsid w:val="00BB1EE7"/>
    <w:rsid w:val="00BB4ABD"/>
    <w:rsid w:val="00BB4ECE"/>
    <w:rsid w:val="00BC70AD"/>
    <w:rsid w:val="00BC7F0F"/>
    <w:rsid w:val="00BD0AF4"/>
    <w:rsid w:val="00BD3075"/>
    <w:rsid w:val="00BD46E7"/>
    <w:rsid w:val="00BD71DF"/>
    <w:rsid w:val="00BE0452"/>
    <w:rsid w:val="00BE2D5B"/>
    <w:rsid w:val="00BE5B6E"/>
    <w:rsid w:val="00BF6BD0"/>
    <w:rsid w:val="00C06A9D"/>
    <w:rsid w:val="00C077F3"/>
    <w:rsid w:val="00C10751"/>
    <w:rsid w:val="00C14C86"/>
    <w:rsid w:val="00C267DE"/>
    <w:rsid w:val="00C26AE7"/>
    <w:rsid w:val="00C332EE"/>
    <w:rsid w:val="00C3420A"/>
    <w:rsid w:val="00C34514"/>
    <w:rsid w:val="00C566F6"/>
    <w:rsid w:val="00C62301"/>
    <w:rsid w:val="00C633AF"/>
    <w:rsid w:val="00C66CA5"/>
    <w:rsid w:val="00C71F96"/>
    <w:rsid w:val="00C73EAD"/>
    <w:rsid w:val="00C74E95"/>
    <w:rsid w:val="00C76B8A"/>
    <w:rsid w:val="00C868C5"/>
    <w:rsid w:val="00C86BD9"/>
    <w:rsid w:val="00CA0C5A"/>
    <w:rsid w:val="00CA3121"/>
    <w:rsid w:val="00CA3FBC"/>
    <w:rsid w:val="00CB3BFF"/>
    <w:rsid w:val="00CB428A"/>
    <w:rsid w:val="00CB6263"/>
    <w:rsid w:val="00CB63F7"/>
    <w:rsid w:val="00CB7776"/>
    <w:rsid w:val="00CC1810"/>
    <w:rsid w:val="00CC1EEC"/>
    <w:rsid w:val="00CE1FA0"/>
    <w:rsid w:val="00CF2C92"/>
    <w:rsid w:val="00CF66F6"/>
    <w:rsid w:val="00CF6A70"/>
    <w:rsid w:val="00D002DF"/>
    <w:rsid w:val="00D01170"/>
    <w:rsid w:val="00D02861"/>
    <w:rsid w:val="00D1189C"/>
    <w:rsid w:val="00D11FA7"/>
    <w:rsid w:val="00D1243C"/>
    <w:rsid w:val="00D15E5D"/>
    <w:rsid w:val="00D15F37"/>
    <w:rsid w:val="00D23C8C"/>
    <w:rsid w:val="00D30CF3"/>
    <w:rsid w:val="00D31171"/>
    <w:rsid w:val="00D316FA"/>
    <w:rsid w:val="00D31DBB"/>
    <w:rsid w:val="00D31FA7"/>
    <w:rsid w:val="00D40548"/>
    <w:rsid w:val="00D40BCB"/>
    <w:rsid w:val="00D42F6B"/>
    <w:rsid w:val="00D4460A"/>
    <w:rsid w:val="00D51230"/>
    <w:rsid w:val="00D641B4"/>
    <w:rsid w:val="00D64B18"/>
    <w:rsid w:val="00D65A72"/>
    <w:rsid w:val="00D728FC"/>
    <w:rsid w:val="00D804A7"/>
    <w:rsid w:val="00D805DA"/>
    <w:rsid w:val="00D81949"/>
    <w:rsid w:val="00D91DE8"/>
    <w:rsid w:val="00D93084"/>
    <w:rsid w:val="00DA10DC"/>
    <w:rsid w:val="00DA1DF3"/>
    <w:rsid w:val="00DA674E"/>
    <w:rsid w:val="00DA7B17"/>
    <w:rsid w:val="00DB1051"/>
    <w:rsid w:val="00DB2460"/>
    <w:rsid w:val="00DB2D2B"/>
    <w:rsid w:val="00DB6354"/>
    <w:rsid w:val="00DC106E"/>
    <w:rsid w:val="00DC1425"/>
    <w:rsid w:val="00DC1D2C"/>
    <w:rsid w:val="00DD1067"/>
    <w:rsid w:val="00DD1A76"/>
    <w:rsid w:val="00DD5974"/>
    <w:rsid w:val="00DD59B5"/>
    <w:rsid w:val="00DE2982"/>
    <w:rsid w:val="00DE4F9B"/>
    <w:rsid w:val="00DE7F91"/>
    <w:rsid w:val="00DF7B15"/>
    <w:rsid w:val="00E01C62"/>
    <w:rsid w:val="00E06497"/>
    <w:rsid w:val="00E118B1"/>
    <w:rsid w:val="00E20AC7"/>
    <w:rsid w:val="00E2654E"/>
    <w:rsid w:val="00E31AB9"/>
    <w:rsid w:val="00E3641B"/>
    <w:rsid w:val="00E43168"/>
    <w:rsid w:val="00E44377"/>
    <w:rsid w:val="00E45FC6"/>
    <w:rsid w:val="00E46FBC"/>
    <w:rsid w:val="00E6295A"/>
    <w:rsid w:val="00E63F04"/>
    <w:rsid w:val="00E64608"/>
    <w:rsid w:val="00E65204"/>
    <w:rsid w:val="00E67221"/>
    <w:rsid w:val="00E73329"/>
    <w:rsid w:val="00E73E80"/>
    <w:rsid w:val="00E84BFF"/>
    <w:rsid w:val="00E84C1B"/>
    <w:rsid w:val="00E9036A"/>
    <w:rsid w:val="00EA0043"/>
    <w:rsid w:val="00EA15B6"/>
    <w:rsid w:val="00EA60D4"/>
    <w:rsid w:val="00EB09A1"/>
    <w:rsid w:val="00EB17CB"/>
    <w:rsid w:val="00EB3B74"/>
    <w:rsid w:val="00EB42E0"/>
    <w:rsid w:val="00EC5393"/>
    <w:rsid w:val="00ED5DDE"/>
    <w:rsid w:val="00EE03CE"/>
    <w:rsid w:val="00EE51C7"/>
    <w:rsid w:val="00EE57C0"/>
    <w:rsid w:val="00EE68E3"/>
    <w:rsid w:val="00EF309D"/>
    <w:rsid w:val="00EF50ED"/>
    <w:rsid w:val="00EF750A"/>
    <w:rsid w:val="00F0280A"/>
    <w:rsid w:val="00F068B4"/>
    <w:rsid w:val="00F122FA"/>
    <w:rsid w:val="00F1588A"/>
    <w:rsid w:val="00F2170A"/>
    <w:rsid w:val="00F24540"/>
    <w:rsid w:val="00F27C0F"/>
    <w:rsid w:val="00F36B55"/>
    <w:rsid w:val="00F40F42"/>
    <w:rsid w:val="00F41A28"/>
    <w:rsid w:val="00F5099A"/>
    <w:rsid w:val="00F515B4"/>
    <w:rsid w:val="00F62A5D"/>
    <w:rsid w:val="00F647CD"/>
    <w:rsid w:val="00F65356"/>
    <w:rsid w:val="00F65B84"/>
    <w:rsid w:val="00F717C2"/>
    <w:rsid w:val="00F74A1A"/>
    <w:rsid w:val="00F812E1"/>
    <w:rsid w:val="00F816D1"/>
    <w:rsid w:val="00F81783"/>
    <w:rsid w:val="00F82A52"/>
    <w:rsid w:val="00F83204"/>
    <w:rsid w:val="00F84158"/>
    <w:rsid w:val="00F86254"/>
    <w:rsid w:val="00F90F78"/>
    <w:rsid w:val="00F96FCF"/>
    <w:rsid w:val="00FA00FA"/>
    <w:rsid w:val="00FA2A80"/>
    <w:rsid w:val="00FB5074"/>
    <w:rsid w:val="00FD00E4"/>
    <w:rsid w:val="00FD058B"/>
    <w:rsid w:val="00FD32C0"/>
    <w:rsid w:val="00FE30B4"/>
    <w:rsid w:val="00FE41A1"/>
    <w:rsid w:val="00FE5191"/>
    <w:rsid w:val="00FE6515"/>
    <w:rsid w:val="00FF1328"/>
    <w:rsid w:val="00F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50E7DA-C045-4247-8C67-AF9C9F1C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1">
    <w:name w:val="Plain Table 41"/>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unhideWhenUsed/>
    <w:rsid w:val="0043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6E32"/>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436E32"/>
    <w:pPr>
      <w:ind w:left="720"/>
      <w:contextualSpacing/>
      <w:jc w:val="center"/>
    </w:pPr>
    <w:rPr>
      <w:rFonts w:ascii="Times New Roman" w:hAnsi="Times New Roman"/>
      <w:kern w:val="24"/>
      <w:sz w:val="24"/>
    </w:rPr>
  </w:style>
  <w:style w:type="character" w:customStyle="1" w:styleId="ListParagraphChar">
    <w:name w:val="List Paragraph Char"/>
    <w:link w:val="ListParagraph"/>
    <w:uiPriority w:val="1"/>
    <w:rsid w:val="00436E32"/>
    <w:rPr>
      <w:rFonts w:ascii="Times New Roman" w:hAnsi="Times New Roman"/>
      <w:kern w:val="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00833">
      <w:bodyDiv w:val="1"/>
      <w:marLeft w:val="0"/>
      <w:marRight w:val="0"/>
      <w:marTop w:val="0"/>
      <w:marBottom w:val="0"/>
      <w:divBdr>
        <w:top w:val="none" w:sz="0" w:space="0" w:color="auto"/>
        <w:left w:val="none" w:sz="0" w:space="0" w:color="auto"/>
        <w:bottom w:val="none" w:sz="0" w:space="0" w:color="auto"/>
        <w:right w:val="none" w:sz="0" w:space="0" w:color="auto"/>
      </w:divBdr>
      <w:divsChild>
        <w:div w:id="1249509517">
          <w:marLeft w:val="0"/>
          <w:marRight w:val="0"/>
          <w:marTop w:val="0"/>
          <w:marBottom w:val="0"/>
          <w:divBdr>
            <w:top w:val="none" w:sz="0" w:space="0" w:color="auto"/>
            <w:left w:val="none" w:sz="0" w:space="0" w:color="auto"/>
            <w:bottom w:val="none" w:sz="0" w:space="0" w:color="auto"/>
            <w:right w:val="none" w:sz="0" w:space="0" w:color="auto"/>
          </w:divBdr>
          <w:divsChild>
            <w:div w:id="1609392210">
              <w:marLeft w:val="0"/>
              <w:marRight w:val="0"/>
              <w:marTop w:val="0"/>
              <w:marBottom w:val="0"/>
              <w:divBdr>
                <w:top w:val="none" w:sz="0" w:space="0" w:color="auto"/>
                <w:left w:val="none" w:sz="0" w:space="0" w:color="auto"/>
                <w:bottom w:val="none" w:sz="0" w:space="0" w:color="auto"/>
                <w:right w:val="none" w:sz="0" w:space="0" w:color="auto"/>
              </w:divBdr>
              <w:divsChild>
                <w:div w:id="2132816275">
                  <w:marLeft w:val="0"/>
                  <w:marRight w:val="0"/>
                  <w:marTop w:val="0"/>
                  <w:marBottom w:val="0"/>
                  <w:divBdr>
                    <w:top w:val="none" w:sz="0" w:space="0" w:color="auto"/>
                    <w:left w:val="none" w:sz="0" w:space="0" w:color="auto"/>
                    <w:bottom w:val="none" w:sz="0" w:space="0" w:color="auto"/>
                    <w:right w:val="none" w:sz="0" w:space="0" w:color="auto"/>
                  </w:divBdr>
                  <w:divsChild>
                    <w:div w:id="8751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10876">
      <w:bodyDiv w:val="1"/>
      <w:marLeft w:val="0"/>
      <w:marRight w:val="0"/>
      <w:marTop w:val="0"/>
      <w:marBottom w:val="0"/>
      <w:divBdr>
        <w:top w:val="none" w:sz="0" w:space="0" w:color="auto"/>
        <w:left w:val="none" w:sz="0" w:space="0" w:color="auto"/>
        <w:bottom w:val="none" w:sz="0" w:space="0" w:color="auto"/>
        <w:right w:val="none" w:sz="0" w:space="0" w:color="auto"/>
      </w:divBdr>
      <w:divsChild>
        <w:div w:id="1820803538">
          <w:marLeft w:val="0"/>
          <w:marRight w:val="0"/>
          <w:marTop w:val="0"/>
          <w:marBottom w:val="0"/>
          <w:divBdr>
            <w:top w:val="none" w:sz="0" w:space="0" w:color="auto"/>
            <w:left w:val="none" w:sz="0" w:space="0" w:color="auto"/>
            <w:bottom w:val="none" w:sz="0" w:space="0" w:color="auto"/>
            <w:right w:val="none" w:sz="0" w:space="0" w:color="auto"/>
          </w:divBdr>
        </w:div>
      </w:divsChild>
    </w:div>
    <w:div w:id="876049063">
      <w:bodyDiv w:val="1"/>
      <w:marLeft w:val="0"/>
      <w:marRight w:val="0"/>
      <w:marTop w:val="0"/>
      <w:marBottom w:val="0"/>
      <w:divBdr>
        <w:top w:val="none" w:sz="0" w:space="0" w:color="auto"/>
        <w:left w:val="none" w:sz="0" w:space="0" w:color="auto"/>
        <w:bottom w:val="none" w:sz="0" w:space="0" w:color="auto"/>
        <w:right w:val="none" w:sz="0" w:space="0" w:color="auto"/>
      </w:divBdr>
      <w:divsChild>
        <w:div w:id="1936135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35EFF23-D200-4C0D-90A2-54B23651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5287</Words>
  <Characters>30141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accy</dc:creator>
  <cp:lastModifiedBy>ANDI RUL</cp:lastModifiedBy>
  <cp:revision>3</cp:revision>
  <dcterms:created xsi:type="dcterms:W3CDTF">2021-07-19T05:56:00Z</dcterms:created>
  <dcterms:modified xsi:type="dcterms:W3CDTF">2021-07-19T07:11:00Z</dcterms:modified>
</cp:coreProperties>
</file>